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Лечебное дело</w:t>
            </w:r>
          </w:p>
          <w:p>
            <w:pPr>
              <w:spacing w:after="0"/>
            </w:pPr>
            <w:r>
              <w:rPr>
                <w:rFonts w:ascii="Arial" w:hAnsi="Arial"/>
                <w:b/>
                <w:color w:val="F7F2E9"/>
                <w:sz w:val="14"/>
              </w:rPr>
              <w:t>Среднее образование   ·   DOCX · PDF   ·   Задач: 2   ·   Вопросов: 24</w:t>
            </w:r>
          </w:p>
        </w:tc>
      </w:tr>
    </w:tbl>
    <w:p>
      <w:pPr>
        <w:spacing w:before="40" w:after="80"/>
        <w:jc w:val="right"/>
      </w:pPr>
      <w:r>
        <w:rPr>
          <w:rFonts w:ascii="Arial" w:hAnsi="Arial"/>
          <w:b w:val="0"/>
          <w:color w:val="5B7180"/>
          <w:sz w:val="13"/>
        </w:rPr>
        <w:t>Сформировано: 28.08.2026, 03:25 МСК · База обновлена: 23.08.2026, 01:54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Женщина 65 лет обратилась к фельдшеру ФАП после самостоятельно сданного анализа по обеспеченности организма витамином D.</w:t>
      </w:r>
    </w:p>
    <w:p>
      <w:pPr>
        <w:pStyle w:val="Heading3"/>
      </w:pPr>
      <w:r>
        <w:t>1.2. Жалобы</w:t>
      </w:r>
    </w:p>
    <w:p>
      <w:pPr>
        <w:spacing w:after="58"/>
      </w:pPr>
      <w:r>
        <w:rPr>
          <w:b w:val="0"/>
          <w:i w:val="0"/>
        </w:rPr>
        <w:t>На мышечную слабость, трудности при ходьбе, нарушение равновесия, склонность к падениям.</w:t>
      </w:r>
    </w:p>
    <w:p>
      <w:pPr>
        <w:pStyle w:val="Heading3"/>
      </w:pPr>
      <w:r>
        <w:t>1.3. Анамнез заболевания</w:t>
      </w:r>
    </w:p>
    <w:p>
      <w:pPr>
        <w:spacing w:after="58"/>
      </w:pPr>
      <w:r>
        <w:rPr>
          <w:b w:val="0"/>
          <w:i w:val="0"/>
        </w:rPr>
        <w:t>Трудности при ходьбе объясняет избыточной массой тела, падения отмечает 1 раз в два месяца, связывает со «слабостью в ногах» и потерей равновесия.</w:t>
      </w:r>
    </w:p>
    <w:p>
      <w:pPr>
        <w:pStyle w:val="Heading3"/>
      </w:pPr>
      <w:r>
        <w:t>1.4. Анамнез жизни</w:t>
      </w:r>
    </w:p>
    <w:p>
      <w:pPr>
        <w:spacing w:after="58"/>
      </w:pPr>
      <w:r>
        <w:rPr>
          <w:b w:val="0"/>
          <w:i w:val="0"/>
        </w:rPr>
        <w:t>* акушерско-гинекологический анамнез: родилась в срок, менструации с 12 лет, менопауза с 56 лет, беременностей – 2, роды – 1, медицинских абортов – 1. По поводу кандидозного вульвовагинита неоднократно проводилось лечение противогрибковыми средствами</w:t>
      </w:r>
    </w:p>
    <w:p>
      <w:pPr>
        <w:spacing w:after="58"/>
      </w:pPr>
      <w:r>
        <w:rPr>
          <w:b w:val="0"/>
          <w:i w:val="0"/>
        </w:rPr>
        <w:t>* перенесенные заболевания: рахит, простудные – 2-3 раза в год</w:t>
      </w:r>
    </w:p>
    <w:p>
      <w:pPr>
        <w:spacing w:after="58"/>
      </w:pPr>
      <w:r>
        <w:rPr>
          <w:b w:val="0"/>
          <w:i w:val="0"/>
        </w:rPr>
        <w:t>* туберкулез, венерические заболевания отрицает</w:t>
      </w:r>
    </w:p>
    <w:p>
      <w:pPr>
        <w:spacing w:after="58"/>
      </w:pPr>
      <w:r>
        <w:rPr>
          <w:b w:val="0"/>
          <w:i w:val="0"/>
        </w:rPr>
        <w:t>* не курит, алкоголем не злоупотребляет</w:t>
      </w:r>
    </w:p>
    <w:p>
      <w:pPr>
        <w:spacing w:after="58"/>
      </w:pPr>
      <w:r>
        <w:rPr>
          <w:b w:val="0"/>
          <w:i w:val="0"/>
        </w:rPr>
        <w:t>* профессиональных вредностей не имела</w:t>
      </w:r>
    </w:p>
    <w:p>
      <w:pPr>
        <w:spacing w:after="58"/>
      </w:pPr>
      <w:r>
        <w:rPr>
          <w:b w:val="0"/>
          <w:i w:val="0"/>
        </w:rPr>
        <w:t>* травмы, операции – холецистэктомия 8 лет назад</w:t>
      </w:r>
    </w:p>
    <w:p>
      <w:pPr>
        <w:spacing w:after="58"/>
      </w:pPr>
      <w:r>
        <w:rPr>
          <w:b w:val="0"/>
          <w:i w:val="0"/>
        </w:rPr>
        <w:t>* аллергических реакций не было</w:t>
      </w:r>
    </w:p>
    <w:p>
      <w:pPr>
        <w:spacing w:after="58"/>
      </w:pPr>
      <w:r>
        <w:rPr>
          <w:b w:val="0"/>
          <w:i w:val="0"/>
        </w:rPr>
        <w:t>* наследственность не отягощена</w:t>
      </w:r>
    </w:p>
    <w:p>
      <w:pPr>
        <w:spacing w:after="58"/>
      </w:pPr>
      <w:r>
        <w:rPr>
          <w:b w:val="0"/>
          <w:i w:val="0"/>
        </w:rPr>
        <w:t>* препараты витамина D ранее не принимала</w:t>
      </w:r>
    </w:p>
    <w:p>
      <w:pPr>
        <w:pStyle w:val="Heading3"/>
      </w:pPr>
      <w:r>
        <w:t>1.5. Объективный статус</w:t>
      </w:r>
    </w:p>
    <w:p>
      <w:pPr>
        <w:spacing w:after="58"/>
      </w:pPr>
      <w:r>
        <w:rPr>
          <w:b w:val="0"/>
          <w:i w:val="0"/>
        </w:rPr>
        <w:t>Состояние удовлетворительное. Рост 160 см, масса тела 80 кг, ИМТ (индекс массы тела - 31). Сознание ясное. Килеобразная грудная клетка. Варусная деформация нижних конечностей. Тонус скелетных мышц ослаблен. Кожные покровы обычной окраски. Лимфатические узлы не увеличены. Зев чистый, кариес зубов. Дыхание везикулярное, частота дыхательных движений 18 в 1 мин. Тоны сердца ясные, ритмичные, частота сердечных сокращений 80 в 1 мин. АД – 130/80. Живот мягкий, безболезненный. Печень, селезенка не пальпируются. Симптом «поколачивания» отрицательный с обеих сторон. Дизурии, периферических отеков нет.</w:t>
      </w:r>
    </w:p>
    <w:p>
      <w:pPr>
        <w:pStyle w:val="Heading2"/>
      </w:pPr>
      <w:r>
        <w:t>1. План обследования</w:t>
      </w:r>
    </w:p>
    <w:p>
      <w:pPr>
        <w:pStyle w:val="Heading3"/>
        <w:keepNext/>
      </w:pPr>
      <w:r>
        <w:rPr>
          <w:b/>
          <w:color w:val="173C49"/>
        </w:rPr>
        <w:t>Вопрос 1.</w:t>
      </w:r>
    </w:p>
    <w:p>
      <w:pPr>
        <w:keepNext/>
      </w:pPr>
      <w:r>
        <w:rPr>
          <w:b w:val="0"/>
          <w:i w:val="0"/>
        </w:rPr>
        <w:t>К данным анамнеза, по которым можно предположить о высоком риске тяжелого дефицита витамина D относятся: рахит, ожирение, неоднократный приём противогрибковых препаратов 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падение в анамнезе у лиц старше 60 лет</w:t>
      </w:r>
    </w:p>
    <w:p>
      <w:pPr>
        <w:tabs>
          <w:tab w:pos="490" w:val="left"/>
        </w:tabs>
        <w:spacing w:after="60"/>
        <w:ind w:left="490" w:hanging="490"/>
      </w:pPr>
      <w:r>
        <w:rPr>
          <w:b/>
        </w:rPr>
        <w:t>2.</w:t>
      </w:r>
      <w:r>
        <w:tab/>
      </w:r>
      <w:r>
        <w:rPr>
          <w:b w:val="0"/>
          <w:i w:val="0"/>
        </w:rPr>
        <w:t>простудные заболевания 2-3 раза в год</w:t>
      </w:r>
    </w:p>
    <w:p>
      <w:pPr>
        <w:tabs>
          <w:tab w:pos="490" w:val="left"/>
        </w:tabs>
        <w:spacing w:after="60"/>
        <w:ind w:left="490" w:hanging="490"/>
      </w:pPr>
      <w:r>
        <w:rPr>
          <w:b/>
        </w:rPr>
        <w:t>3.</w:t>
      </w:r>
      <w:r>
        <w:tab/>
      </w:r>
      <w:r>
        <w:rPr>
          <w:b w:val="0"/>
          <w:i w:val="0"/>
        </w:rPr>
        <w:t>онкологические заболевания</w:t>
      </w:r>
    </w:p>
    <w:p>
      <w:pPr>
        <w:tabs>
          <w:tab w:pos="490" w:val="left"/>
        </w:tabs>
        <w:spacing w:after="60"/>
        <w:ind w:left="490" w:hanging="490"/>
      </w:pPr>
      <w:r>
        <w:rPr>
          <w:b/>
        </w:rPr>
        <w:t>4.</w:t>
      </w:r>
      <w:r>
        <w:tab/>
      </w:r>
      <w:r>
        <w:rPr>
          <w:b w:val="0"/>
          <w:i w:val="0"/>
        </w:rPr>
        <w:t>наличие сердечно – сосудистых заболеваний</w:t>
      </w:r>
    </w:p>
    <w:p>
      <w:pPr>
        <w:ind w:left="288"/>
      </w:pPr>
      <w:r>
        <w:rPr>
          <w:b/>
          <w:color w:val="173C49"/>
        </w:rPr>
        <w:t>Правильный ответ:</w:t>
      </w:r>
      <w:r>
        <w:br/>
      </w:r>
      <w:r>
        <w:rPr>
          <w:b/>
          <w:i w:val="0"/>
        </w:rPr>
        <w:t>1 - падение в анамнезе у лиц старше 60 лет</w:t>
      </w:r>
    </w:p>
    <w:p>
      <w:pPr>
        <w:spacing w:after="58"/>
      </w:pPr>
      <w:r>
        <w:rPr>
          <w:b w:val="0"/>
          <w:i w:val="0"/>
        </w:rPr>
        <w:t>Группы лиц с высоким риском тяжелого дефицита витамина D, которым показан биохимический скрининг:</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Пожилые лица (&gt;60 лет)</w:t>
            </w:r>
          </w:p>
        </w:tc>
        <w:tc>
          <w:tcPr>
            <w:tcW w:type="dxa" w:w="5060"/>
          </w:tcPr>
          <w:p>
            <w:r>
              <w:rPr>
                <w:b/>
                <w:i w:val="0"/>
              </w:rPr>
              <w:t>Падение в анамнезе +</w:t>
              <w:br/>
              <w:br/>
              <w:t>Низкоэнергетический перелом в анамнезе</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Расчет индекса массы тела выполняется по формуле</w:t>
      </w:r>
    </w:p>
    <w:p>
      <w:pPr>
        <w:tabs>
          <w:tab w:pos="490" w:val="left"/>
        </w:tabs>
        <w:spacing w:after="60"/>
        <w:ind w:left="490" w:hanging="490"/>
      </w:pPr>
      <w:r>
        <w:rPr>
          <w:b/>
        </w:rPr>
        <w:t>1.</w:t>
      </w:r>
      <w:r>
        <w:tab/>
      </w:r>
      <w:r>
        <w:rPr>
          <w:b w:val="0"/>
          <w:i w:val="0"/>
        </w:rPr>
        <w:t>ИМТ = Рост (м) х Рост (м) / Вес (кг)</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ИМТ = Вес(кг) / Рост</w:t>
      </w:r>
      <w:r>
        <w:rPr>
          <w:b w:val="0"/>
          <w:i w:val="0"/>
          <w:vertAlign w:val="superscript"/>
        </w:rPr>
        <w:t>2</w:t>
      </w:r>
      <w:r>
        <w:rPr>
          <w:b w:val="0"/>
          <w:i w:val="0"/>
        </w:rPr>
        <w:t>(м)</w:t>
      </w:r>
    </w:p>
    <w:p>
      <w:pPr>
        <w:tabs>
          <w:tab w:pos="490" w:val="left"/>
        </w:tabs>
        <w:spacing w:after="60"/>
        <w:ind w:left="490" w:hanging="490"/>
      </w:pPr>
      <w:r>
        <w:rPr>
          <w:b/>
        </w:rPr>
        <w:t>3.</w:t>
      </w:r>
      <w:r>
        <w:tab/>
      </w:r>
      <w:r>
        <w:rPr>
          <w:b w:val="0"/>
          <w:i w:val="0"/>
        </w:rPr>
        <w:t>ИМТ = Вес (кг) / Рост (см)</w:t>
      </w:r>
    </w:p>
    <w:p>
      <w:pPr>
        <w:tabs>
          <w:tab w:pos="490" w:val="left"/>
        </w:tabs>
        <w:spacing w:after="60"/>
        <w:ind w:left="490" w:hanging="490"/>
      </w:pPr>
      <w:r>
        <w:rPr>
          <w:b/>
        </w:rPr>
        <w:t>4.</w:t>
      </w:r>
      <w:r>
        <w:tab/>
      </w:r>
      <w:r>
        <w:rPr>
          <w:b w:val="0"/>
          <w:i w:val="0"/>
        </w:rPr>
        <w:t>ИМТ = Вес (кг) / Рост (м)</w:t>
      </w:r>
    </w:p>
    <w:p>
      <w:pPr>
        <w:ind w:left="288"/>
      </w:pPr>
      <w:r>
        <w:rPr>
          <w:b/>
          <w:color w:val="173C49"/>
        </w:rPr>
        <w:t>Правильный ответ:</w:t>
      </w:r>
      <w:r>
        <w:br/>
      </w:r>
      <w:r>
        <w:rPr>
          <w:b/>
          <w:i w:val="0"/>
        </w:rPr>
        <w:t>2 - ИМТ = Вес(кг) / Рост</w:t>
      </w:r>
      <w:r>
        <w:rPr>
          <w:b/>
          <w:i w:val="0"/>
          <w:vertAlign w:val="superscript"/>
        </w:rPr>
        <w:t>2</w:t>
      </w:r>
      <w:r>
        <w:rPr>
          <w:b/>
          <w:i w:val="0"/>
        </w:rPr>
        <w:t>(м)</w:t>
      </w:r>
    </w:p>
    <w:p>
      <w:pPr>
        <w:spacing w:after="58"/>
      </w:pPr>
      <w:r>
        <w:rPr>
          <w:b w:val="0"/>
          <w:i w:val="0"/>
        </w:rPr>
        <w:t>Рост стоя (без обуви),м = +_+ .</w:t>
      </w:r>
    </w:p>
    <w:p>
      <w:pPr>
        <w:spacing w:after="58"/>
      </w:pPr>
      <w:r>
        <w:rPr>
          <w:b w:val="0"/>
          <w:i w:val="0"/>
        </w:rPr>
        <w:t>Масса тела, кг = +_+ .</w:t>
      </w:r>
    </w:p>
    <w:p>
      <w:pPr>
        <w:spacing w:after="58"/>
      </w:pPr>
      <w:r>
        <w:rPr>
          <w:b w:val="0"/>
          <w:i w:val="0"/>
        </w:rPr>
        <w:t>Индекс массы тела = масса тела / рост</w:t>
      </w:r>
      <w:r>
        <w:rPr>
          <w:b w:val="0"/>
          <w:i w:val="0"/>
          <w:vertAlign w:val="superscript"/>
        </w:rPr>
        <w:t>2</w:t>
      </w:r>
      <w:r>
        <w:rPr>
          <w:b w:val="0"/>
          <w:i w:val="0"/>
        </w:rPr>
        <w:t>(кг/м</w:t>
      </w:r>
      <w:r>
        <w:rPr>
          <w:b w:val="0"/>
          <w:i w:val="0"/>
          <w:vertAlign w:val="superscript"/>
        </w:rPr>
        <w:t>2</w:t>
      </w:r>
      <w:r>
        <w:rPr>
          <w:b w:val="0"/>
          <w:i w:val="0"/>
        </w:rPr>
        <w:t>) = +_+ .</w:t>
      </w:r>
    </w:p>
    <w:p>
      <w:pPr>
        <w:spacing w:after="58"/>
      </w:pPr>
      <w:r>
        <w:rPr>
          <w:b w:val="0"/>
          <w:i w:val="0"/>
        </w:rPr>
        <w:t>Гигиена питания [Электронный ресурс]: Руководство для врачей / А.А. Королев. - М.: ГЭОТАР-Медиа, 2016.</w:t>
      </w:r>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У пациентки с ИМТ= 31 кг/м</w:t>
      </w:r>
      <w:r>
        <w:rPr>
          <w:b w:val="0"/>
          <w:i w:val="0"/>
          <w:vertAlign w:val="superscript"/>
        </w:rPr>
        <w:t>2</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I степень ожирения</w:t>
      </w:r>
    </w:p>
    <w:p>
      <w:pPr>
        <w:tabs>
          <w:tab w:pos="490" w:val="left"/>
        </w:tabs>
        <w:spacing w:after="60"/>
        <w:ind w:left="490" w:hanging="490"/>
      </w:pPr>
      <w:r>
        <w:rPr>
          <w:b/>
        </w:rPr>
        <w:t>2.</w:t>
      </w:r>
      <w:r>
        <w:tab/>
      </w:r>
      <w:r>
        <w:rPr>
          <w:b w:val="0"/>
          <w:i w:val="0"/>
        </w:rPr>
        <w:t>III степень ожирения</w:t>
      </w:r>
    </w:p>
    <w:p>
      <w:pPr>
        <w:tabs>
          <w:tab w:pos="490" w:val="left"/>
        </w:tabs>
        <w:spacing w:after="60"/>
        <w:ind w:left="490" w:hanging="490"/>
      </w:pPr>
      <w:r>
        <w:rPr>
          <w:b/>
        </w:rPr>
        <w:t>3.</w:t>
      </w:r>
      <w:r>
        <w:tab/>
      </w:r>
      <w:r>
        <w:rPr>
          <w:b w:val="0"/>
          <w:i w:val="0"/>
        </w:rPr>
        <w:t>избыточная масса тела</w:t>
      </w:r>
    </w:p>
    <w:p>
      <w:pPr>
        <w:tabs>
          <w:tab w:pos="490" w:val="left"/>
        </w:tabs>
        <w:spacing w:after="60"/>
        <w:ind w:left="490" w:hanging="490"/>
      </w:pPr>
      <w:r>
        <w:rPr>
          <w:b/>
        </w:rPr>
        <w:t>4.</w:t>
      </w:r>
      <w:r>
        <w:tab/>
      </w:r>
      <w:r>
        <w:rPr>
          <w:b w:val="0"/>
          <w:i w:val="0"/>
        </w:rPr>
        <w:t>II степень ожирения</w:t>
      </w:r>
    </w:p>
    <w:p>
      <w:pPr>
        <w:ind w:left="288"/>
      </w:pPr>
      <w:r>
        <w:rPr>
          <w:b/>
          <w:color w:val="173C49"/>
        </w:rPr>
        <w:t>Правильный ответ:</w:t>
      </w:r>
      <w:r>
        <w:br/>
      </w:r>
      <w:r>
        <w:rPr>
          <w:b/>
          <w:i w:val="0"/>
        </w:rPr>
        <w:t>1 - I степень ожирения</w:t>
      </w:r>
    </w:p>
    <w:p>
      <w:pPr>
        <w:spacing w:after="58"/>
      </w:pPr>
      <w:r>
        <w:rPr>
          <w:b w:val="0"/>
          <w:i w:val="0"/>
        </w:rPr>
        <w:t>Классификация ожирения по индексу массы тела (ВОЗ, 1997)</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Степень ожирения</w:t>
            </w:r>
          </w:p>
        </w:tc>
        <w:tc>
          <w:tcPr>
            <w:tcW w:type="dxa" w:w="5060"/>
          </w:tcPr>
          <w:p>
            <w:r>
              <w:rPr>
                <w:b/>
                <w:i w:val="0"/>
              </w:rPr>
              <w:t>ИМТ</w:t>
            </w:r>
          </w:p>
        </w:tc>
      </w:tr>
      <w:tr>
        <w:tc>
          <w:tcPr>
            <w:tcW w:type="dxa" w:w="5060"/>
          </w:tcPr>
          <w:p>
            <w:r>
              <w:rPr>
                <w:b w:val="0"/>
                <w:i w:val="0"/>
              </w:rPr>
              <w:t>Избыточная масса тела</w:t>
            </w:r>
          </w:p>
        </w:tc>
        <w:tc>
          <w:tcPr>
            <w:tcW w:type="dxa" w:w="5060"/>
          </w:tcPr>
          <w:p>
            <w:r>
              <w:rPr>
                <w:b w:val="0"/>
                <w:i w:val="0"/>
              </w:rPr>
              <w:t>25-29,9</w:t>
            </w:r>
          </w:p>
        </w:tc>
      </w:tr>
      <w:tr>
        <w:tc>
          <w:tcPr>
            <w:tcW w:type="dxa" w:w="5060"/>
          </w:tcPr>
          <w:p>
            <w:r>
              <w:rPr>
                <w:b w:val="0"/>
                <w:i w:val="0"/>
              </w:rPr>
              <w:t>Ожирение I степени</w:t>
            </w:r>
          </w:p>
        </w:tc>
        <w:tc>
          <w:tcPr>
            <w:tcW w:type="dxa" w:w="5060"/>
          </w:tcPr>
          <w:p>
            <w:r>
              <w:rPr>
                <w:b w:val="0"/>
                <w:i w:val="0"/>
              </w:rPr>
              <w:t>30-34,9</w:t>
            </w:r>
          </w:p>
        </w:tc>
      </w:tr>
      <w:tr>
        <w:tc>
          <w:tcPr>
            <w:tcW w:type="dxa" w:w="5060"/>
          </w:tcPr>
          <w:p>
            <w:r>
              <w:rPr>
                <w:b w:val="0"/>
                <w:i w:val="0"/>
              </w:rPr>
              <w:t>Ожирение II степени</w:t>
            </w:r>
          </w:p>
        </w:tc>
        <w:tc>
          <w:tcPr>
            <w:tcW w:type="dxa" w:w="5060"/>
          </w:tcPr>
          <w:p>
            <w:r>
              <w:rPr>
                <w:b w:val="0"/>
                <w:i w:val="0"/>
              </w:rPr>
              <w:t>35-39,9</w:t>
            </w:r>
          </w:p>
        </w:tc>
      </w:tr>
      <w:tr>
        <w:tc>
          <w:tcPr>
            <w:tcW w:type="dxa" w:w="5060"/>
          </w:tcPr>
          <w:p>
            <w:r>
              <w:rPr>
                <w:b w:val="0"/>
                <w:i w:val="0"/>
              </w:rPr>
              <w:t>Ожирение III степени (морбидное)</w:t>
            </w:r>
          </w:p>
        </w:tc>
        <w:tc>
          <w:tcPr>
            <w:tcW w:type="dxa" w:w="5060"/>
          </w:tcPr>
          <w:p>
            <w:r>
              <w:rPr>
                <w:b w:val="0"/>
                <w:i w:val="0"/>
              </w:rPr>
              <w:t>&gt;40</w:t>
            </w:r>
          </w:p>
        </w:tc>
      </w:tr>
    </w:tbl>
    <w:p/>
    <w:p>
      <w:pPr>
        <w:spacing w:after="58"/>
      </w:pPr>
      <w:r>
        <w:rPr>
          <w:b w:val="0"/>
          <w:i w:val="0"/>
        </w:rPr>
        <w:t>Эндокринология: национальное руководство / под ред. И.И. Дедова, Г.А. Мельниченко. - 2-е изд., перераб. и доп. - Москва : ГЭОТАР-Медиа, 2024. - 1112 с. - ISBN 978-5-9704-8147-9</w:t>
      </w:r>
    </w:p>
    <w:p>
      <w:pPr>
        <w:spacing w:after="58"/>
      </w:pPr>
      <w:hyperlink r:id="rId24">
        <w:r>
          <w:rPr>
            <w:color w:val="173C49"/>
            <w:u w:val="single"/>
          </w:rPr>
          <w:t xml:space="preserve">(1)</w:t>
        </w:r>
      </w:hyperlink>
    </w:p>
    <w:p>
      <w:pPr>
        <w:pStyle w:val="Heading3"/>
        <w:keepNext/>
      </w:pPr>
      <w:r>
        <w:rPr>
          <w:b/>
          <w:color w:val="173C49"/>
        </w:rPr>
        <w:t>Вопрос 4.</w:t>
      </w:r>
    </w:p>
    <w:p>
      <w:pPr>
        <w:keepNext/>
      </w:pPr>
      <w:r>
        <w:rPr>
          <w:b w:val="0"/>
          <w:i w:val="0"/>
        </w:rPr>
        <w:t>Проявлениями клинического синдрома миопатии являются</w:t>
      </w:r>
    </w:p>
    <w:p>
      <w:pPr>
        <w:tabs>
          <w:tab w:pos="490" w:val="left"/>
        </w:tabs>
        <w:spacing w:after="60"/>
        <w:ind w:left="490" w:hanging="490"/>
      </w:pPr>
      <w:r>
        <w:rPr>
          <w:b/>
        </w:rPr>
        <w:t>1.</w:t>
      </w:r>
      <w:r>
        <w:tab/>
      </w:r>
      <w:r>
        <w:rPr>
          <w:b w:val="0"/>
          <w:i w:val="0"/>
        </w:rPr>
        <w:t>плохо локализованные неприятные ощущения, возникающие через некоторое время после нанесения внешнего раздражителя, которые остаются даже после его прекращения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слабость в проксимальных мышцах, трудности при ходьбе, поддержании равновесия, склонность к падениям</w:t>
      </w:r>
    </w:p>
    <w:p>
      <w:pPr>
        <w:tabs>
          <w:tab w:pos="490" w:val="left"/>
        </w:tabs>
        <w:spacing w:after="60"/>
        <w:ind w:left="490" w:hanging="490"/>
      </w:pPr>
      <w:r>
        <w:rPr>
          <w:b/>
        </w:rPr>
        <w:t>3.</w:t>
      </w:r>
      <w:r>
        <w:tab/>
      </w:r>
      <w:r>
        <w:rPr>
          <w:b w:val="0"/>
          <w:i w:val="0"/>
        </w:rPr>
        <w:t>ощущение онемения, жжения, покалывания в конечностях</w:t>
      </w:r>
    </w:p>
    <w:p>
      <w:pPr>
        <w:tabs>
          <w:tab w:pos="490" w:val="left"/>
        </w:tabs>
        <w:spacing w:after="60"/>
        <w:ind w:left="490" w:hanging="490"/>
      </w:pPr>
      <w:r>
        <w:rPr>
          <w:b/>
        </w:rPr>
        <w:t>4.</w:t>
      </w:r>
      <w:r>
        <w:tab/>
      </w:r>
      <w:r>
        <w:rPr>
          <w:b w:val="0"/>
          <w:i w:val="0"/>
        </w:rPr>
        <w:t>потеря болевой и температурной чувствительности</w:t>
      </w:r>
    </w:p>
    <w:p>
      <w:pPr>
        <w:ind w:left="288"/>
      </w:pPr>
      <w:r>
        <w:rPr>
          <w:b/>
          <w:color w:val="173C49"/>
        </w:rPr>
        <w:t>Правильный ответ:</w:t>
      </w:r>
      <w:r>
        <w:br/>
      </w:r>
      <w:r>
        <w:rPr>
          <w:b/>
          <w:i w:val="0"/>
        </w:rPr>
        <w:t>2 - слабость в проксимальных мышцах, трудности при ходьбе, поддержании равновесия, склонность к падениям</w:t>
      </w:r>
    </w:p>
    <w:p>
      <w:pPr>
        <w:spacing w:after="58"/>
      </w:pPr>
      <w:r>
        <w:rPr>
          <w:b w:val="0"/>
          <w:i w:val="0"/>
        </w:rPr>
        <w:t>Дефицит витамина D может приводить к миопатии, которая проявляется мышечной слабостью, особенно в проксимальных группах мышц, трудностями при ходьбе, поддержании равновесия и склонностью к падениям, что закономерно увеличивает риск переломов.</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5">
        <w:r>
          <w:rPr>
            <w:color w:val="173C49"/>
            <w:u w:val="single"/>
          </w:rPr>
          <w:t xml:space="preserve">(1)</w:t>
        </w:r>
      </w:hyperlink>
    </w:p>
    <w:p>
      <w:pPr>
        <w:pStyle w:val="Heading2"/>
      </w:pPr>
      <w:r>
        <w:t>2. Диагноз</w:t>
      </w:r>
    </w:p>
    <w:p>
      <w:pPr>
        <w:pStyle w:val="Heading3"/>
        <w:keepNext/>
      </w:pPr>
      <w:r>
        <w:rPr>
          <w:b/>
          <w:color w:val="173C49"/>
        </w:rPr>
        <w:t>Вопрос 5.</w:t>
      </w:r>
    </w:p>
    <w:p>
      <w:pPr>
        <w:keepNext/>
      </w:pPr>
      <w:r>
        <w:rPr>
          <w:b w:val="0"/>
          <w:i w:val="0"/>
        </w:rPr>
        <w:t>Биомаркером обеспеченности витамином D в организме пациентки явился анализ на уровень</w:t>
      </w:r>
    </w:p>
    <w:p>
      <w:pPr>
        <w:tabs>
          <w:tab w:pos="490" w:val="left"/>
        </w:tabs>
        <w:spacing w:after="60"/>
        <w:ind w:left="490" w:hanging="490"/>
      </w:pPr>
      <w:r>
        <w:rPr>
          <w:b/>
        </w:rPr>
        <w:t>1.</w:t>
      </w:r>
      <w:r>
        <w:tab/>
      </w:r>
      <w:r>
        <w:rPr>
          <w:b w:val="0"/>
          <w:i w:val="0"/>
        </w:rPr>
        <w:t>1,25 - дигидроксивитамин D. Обозначение: 1,25(ОН)</w:t>
      </w:r>
      <w:r>
        <w:rPr>
          <w:b w:val="0"/>
          <w:i w:val="0"/>
          <w:vertAlign w:val="subscript"/>
        </w:rPr>
        <w:t>2</w:t>
      </w:r>
      <w:r>
        <w:rPr>
          <w:b w:val="0"/>
          <w:i w:val="0"/>
        </w:rPr>
        <w:t>D</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25- гидроксивитамин D. Обозначение: 25(ОН)D</w:t>
      </w:r>
    </w:p>
    <w:p>
      <w:pPr>
        <w:tabs>
          <w:tab w:pos="490" w:val="left"/>
        </w:tabs>
        <w:spacing w:after="60"/>
        <w:ind w:left="490" w:hanging="490"/>
      </w:pPr>
      <w:r>
        <w:rPr>
          <w:b/>
        </w:rPr>
        <w:t>3.</w:t>
      </w:r>
      <w:r>
        <w:tab/>
      </w:r>
      <w:r>
        <w:rPr>
          <w:b w:val="0"/>
          <w:i w:val="0"/>
        </w:rPr>
        <w:t>ионизированного кальция</w:t>
      </w:r>
    </w:p>
    <w:p>
      <w:pPr>
        <w:tabs>
          <w:tab w:pos="490" w:val="left"/>
        </w:tabs>
        <w:spacing w:after="60"/>
        <w:ind w:left="490" w:hanging="490"/>
      </w:pPr>
      <w:r>
        <w:rPr>
          <w:b/>
        </w:rPr>
        <w:t>4.</w:t>
      </w:r>
      <w:r>
        <w:tab/>
      </w:r>
      <w:r>
        <w:rPr>
          <w:b w:val="0"/>
          <w:i w:val="0"/>
        </w:rPr>
        <w:t>паратиреоидного гормона (ПТГ)</w:t>
      </w:r>
    </w:p>
    <w:p>
      <w:pPr>
        <w:ind w:left="288"/>
      </w:pPr>
      <w:r>
        <w:rPr>
          <w:b/>
          <w:color w:val="173C49"/>
        </w:rPr>
        <w:t>Правильный ответ:</w:t>
      </w:r>
      <w:r>
        <w:br/>
      </w:r>
      <w:r>
        <w:rPr>
          <w:b/>
          <w:i w:val="0"/>
        </w:rPr>
        <w:t>2 - 25- гидроксивитамин D. Обозначение: 25(ОН)D</w:t>
      </w:r>
    </w:p>
    <w:p>
      <w:pPr>
        <w:spacing w:after="58"/>
      </w:pPr>
      <w:r>
        <w:rPr>
          <w:b w:val="0"/>
          <w:i w:val="0"/>
        </w:rPr>
        <w:t>Концентрация общего 25(ОН)D в сыворотке крови является общепризнанным лучшим маркером для оценки статуса витамина D, так как представляет собой основную циркулирующую форму витамина D с временем полужизни порядка 2-3 недель, а также отражает как поступление витамина D с пищей и нативными препаратами витамина D, так и синтезированный в коже под воздействием УФ облучения</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 xml:space="preserve">Из перенесенных заболеваний и состояний пациентки к фактору риска дефицита витамина D относится </w:t>
      </w:r>
      <w:r>
        <w:rPr>
          <w:b w:val="0"/>
          <w:i w:val="0"/>
        </w:rPr>
        <w:t>________</w:t>
      </w:r>
      <w:r>
        <w:rPr>
          <w:b w:val="0"/>
          <w:i w:val="0"/>
        </w:rPr>
        <w:t xml:space="preserve"> в анамнезе</w:t>
      </w:r>
    </w:p>
    <w:p>
      <w:pPr>
        <w:tabs>
          <w:tab w:pos="490" w:val="left"/>
        </w:tabs>
        <w:spacing w:after="60"/>
        <w:ind w:left="490" w:hanging="490"/>
      </w:pPr>
      <w:r>
        <w:rPr>
          <w:b/>
        </w:rPr>
        <w:t>1.</w:t>
      </w:r>
      <w:r>
        <w:tab/>
      </w:r>
      <w:r>
        <w:rPr>
          <w:b w:val="0"/>
          <w:i w:val="0"/>
        </w:rPr>
        <w:t>холецистэктомия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рахит</w:t>
      </w:r>
    </w:p>
    <w:p>
      <w:pPr>
        <w:tabs>
          <w:tab w:pos="490" w:val="left"/>
        </w:tabs>
        <w:spacing w:after="60"/>
        <w:ind w:left="490" w:hanging="490"/>
      </w:pPr>
      <w:r>
        <w:rPr>
          <w:b/>
        </w:rPr>
        <w:t>3.</w:t>
      </w:r>
      <w:r>
        <w:tab/>
      </w:r>
      <w:r>
        <w:rPr>
          <w:b w:val="0"/>
          <w:i w:val="0"/>
        </w:rPr>
        <w:t>ОРВИ</w:t>
      </w:r>
    </w:p>
    <w:p>
      <w:pPr>
        <w:tabs>
          <w:tab w:pos="490" w:val="left"/>
        </w:tabs>
        <w:spacing w:after="60"/>
        <w:ind w:left="490" w:hanging="490"/>
      </w:pPr>
      <w:r>
        <w:rPr>
          <w:b/>
        </w:rPr>
        <w:t>4.</w:t>
      </w:r>
      <w:r>
        <w:tab/>
      </w:r>
      <w:r>
        <w:rPr>
          <w:b w:val="0"/>
          <w:i w:val="0"/>
        </w:rPr>
        <w:t>беременности и медицинский аборт</w:t>
      </w:r>
    </w:p>
    <w:p>
      <w:pPr>
        <w:ind w:left="288"/>
      </w:pPr>
      <w:r>
        <w:rPr>
          <w:b/>
          <w:color w:val="173C49"/>
        </w:rPr>
        <w:t>Правильный ответ:</w:t>
      </w:r>
      <w:r>
        <w:br/>
      </w:r>
      <w:r>
        <w:rPr>
          <w:b/>
          <w:i w:val="0"/>
        </w:rPr>
        <w:t>2 - рахит</w:t>
      </w:r>
    </w:p>
    <w:p>
      <w:pPr>
        <w:spacing w:after="58"/>
      </w:pPr>
      <w:r>
        <w:rPr>
          <w:b w:val="0"/>
          <w:i w:val="0"/>
        </w:rPr>
        <w:t>Группы лиц с высоким риском тяжелого дефицита витамина D, которым показан биохимический скрининг:</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Заболевания костей</w:t>
            </w:r>
          </w:p>
        </w:tc>
        <w:tc>
          <w:tcPr>
            <w:tcW w:type="dxa" w:w="5060"/>
          </w:tcPr>
          <w:p>
            <w:r>
              <w:rPr>
                <w:b/>
                <w:i w:val="0"/>
              </w:rPr>
              <w:t>Рахит</w:t>
              <w:br/>
              <w:br/>
              <w:t>Остеомаляция</w:t>
              <w:br/>
              <w:br/>
              <w:t>Остеопороз</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1">
        <w:r>
          <w:rPr>
            <w:color w:val="173C49"/>
            <w:u w:val="single"/>
          </w:rPr>
          <w:t xml:space="preserve">(1)</w:t>
        </w:r>
      </w:hyperlink>
    </w:p>
    <w:p>
      <w:pPr>
        <w:pStyle w:val="Heading2"/>
      </w:pPr>
      <w:r>
        <w:t>3. Лечение</w:t>
      </w:r>
    </w:p>
    <w:p>
      <w:pPr>
        <w:pStyle w:val="Heading3"/>
        <w:keepNext/>
      </w:pPr>
      <w:r>
        <w:rPr>
          <w:b/>
          <w:color w:val="173C49"/>
        </w:rPr>
        <w:t>Вопрос 7.</w:t>
      </w:r>
    </w:p>
    <w:p>
      <w:pPr>
        <w:keepNext/>
      </w:pPr>
      <w:r>
        <w:rPr>
          <w:b w:val="0"/>
          <w:i w:val="0"/>
        </w:rPr>
        <w:t>Рекомендуемым препаратом для лечения дефицита витамина D является</w:t>
      </w:r>
    </w:p>
    <w:p>
      <w:pPr>
        <w:tabs>
          <w:tab w:pos="490" w:val="left"/>
        </w:tabs>
        <w:spacing w:after="60"/>
        <w:ind w:left="490" w:hanging="490"/>
      </w:pPr>
      <w:r>
        <w:rPr>
          <w:b/>
        </w:rPr>
        <w:t>1.</w:t>
      </w:r>
      <w:r>
        <w:tab/>
      </w:r>
      <w:r>
        <w:rPr>
          <w:b w:val="0"/>
          <w:i w:val="0"/>
        </w:rPr>
        <w:t>токоферол ацетат (Витамин Е)</w:t>
      </w:r>
    </w:p>
    <w:p>
      <w:pPr>
        <w:tabs>
          <w:tab w:pos="490" w:val="left"/>
        </w:tabs>
        <w:spacing w:after="60"/>
        <w:ind w:left="490" w:hanging="490"/>
      </w:pPr>
      <w:r>
        <w:rPr>
          <w:b/>
        </w:rPr>
        <w:t>2.</w:t>
      </w:r>
      <w:r>
        <w:tab/>
      </w:r>
      <w:r>
        <w:rPr>
          <w:b w:val="0"/>
          <w:i w:val="0"/>
        </w:rPr>
        <w:t>ретинол ацетат (Витамин 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колекальциферол (Витамин D</w:t>
      </w:r>
      <w:r>
        <w:rPr>
          <w:b w:val="0"/>
          <w:i w:val="0"/>
          <w:vertAlign w:val="subscript"/>
        </w:rPr>
        <w:t>3</w:t>
      </w:r>
      <w:r>
        <w:rPr>
          <w:b w:val="0"/>
          <w:i w:val="0"/>
        </w:rPr>
        <w:t>)</w:t>
      </w:r>
    </w:p>
    <w:p>
      <w:pPr>
        <w:tabs>
          <w:tab w:pos="490" w:val="left"/>
        </w:tabs>
        <w:spacing w:after="60"/>
        <w:ind w:left="490" w:hanging="490"/>
      </w:pPr>
      <w:r>
        <w:rPr>
          <w:b/>
        </w:rPr>
        <w:t>4.</w:t>
      </w:r>
      <w:r>
        <w:tab/>
      </w:r>
      <w:r>
        <w:rPr>
          <w:b w:val="0"/>
          <w:i w:val="0"/>
        </w:rPr>
        <w:t>викасол (Витамин К)</w:t>
      </w:r>
    </w:p>
    <w:p>
      <w:pPr>
        <w:ind w:left="288"/>
      </w:pPr>
      <w:r>
        <w:rPr>
          <w:b/>
          <w:color w:val="173C49"/>
        </w:rPr>
        <w:t>Правильный ответ:</w:t>
      </w:r>
      <w:r>
        <w:br/>
      </w:r>
      <w:r>
        <w:rPr>
          <w:b/>
          <w:i w:val="0"/>
        </w:rPr>
        <w:t>3 - колекальциферол (Витамин D</w:t>
      </w:r>
      <w:r>
        <w:rPr>
          <w:b/>
          <w:i w:val="0"/>
          <w:vertAlign w:val="subscript"/>
        </w:rPr>
        <w:t>3</w:t>
      </w:r>
      <w:r>
        <w:rPr>
          <w:b/>
          <w:i w:val="0"/>
        </w:rPr>
        <w:t>)</w:t>
      </w:r>
    </w:p>
    <w:p>
      <w:pPr>
        <w:spacing w:after="58"/>
      </w:pPr>
      <w:r>
        <w:rPr>
          <w:b w:val="0"/>
          <w:i w:val="0"/>
        </w:rPr>
        <w:t>Для лечения дефицита и недостаточности витамина D рекомендуется использование колекальциферола (D3)</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8">
        <w:r>
          <w:rPr>
            <w:color w:val="173C49"/>
            <w:u w:val="single"/>
          </w:rPr>
          <w:t xml:space="preserve">(1)</w:t>
        </w:r>
      </w:hyperlink>
    </w:p>
    <w:p>
      <w:pPr>
        <w:pStyle w:val="Heading3"/>
        <w:keepNext/>
      </w:pPr>
      <w:r>
        <w:rPr>
          <w:b/>
          <w:color w:val="173C49"/>
        </w:rPr>
        <w:t>Вопрос 8.</w:t>
      </w:r>
    </w:p>
    <w:p>
      <w:pPr>
        <w:keepNext/>
      </w:pPr>
      <w:r>
        <w:rPr>
          <w:b w:val="0"/>
          <w:i w:val="0"/>
        </w:rPr>
        <w:t>Формами выпуска зарегистрированных в РФ препаратов колекальциферола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масляный раствор, водный раствор, таблетки, капсулы</w:t>
      </w:r>
    </w:p>
    <w:p>
      <w:pPr>
        <w:tabs>
          <w:tab w:pos="490" w:val="left"/>
        </w:tabs>
        <w:spacing w:after="60"/>
        <w:ind w:left="490" w:hanging="490"/>
      </w:pPr>
      <w:r>
        <w:rPr>
          <w:b/>
        </w:rPr>
        <w:t>2.</w:t>
      </w:r>
      <w:r>
        <w:tab/>
      </w:r>
      <w:r>
        <w:rPr>
          <w:b w:val="0"/>
          <w:i w:val="0"/>
        </w:rPr>
        <w:t>раствор, трансдермальная терапевтическая система (ТТС), экстракт , суспензия</w:t>
      </w:r>
    </w:p>
    <w:p>
      <w:pPr>
        <w:tabs>
          <w:tab w:pos="490" w:val="left"/>
        </w:tabs>
        <w:spacing w:after="60"/>
        <w:ind w:left="490" w:hanging="490"/>
      </w:pPr>
      <w:r>
        <w:rPr>
          <w:b/>
        </w:rPr>
        <w:t>3.</w:t>
      </w:r>
      <w:r>
        <w:tab/>
      </w:r>
      <w:r>
        <w:rPr>
          <w:b w:val="0"/>
          <w:i w:val="0"/>
        </w:rPr>
        <w:t>таблетки, драже, порошок, раствор</w:t>
      </w:r>
    </w:p>
    <w:p>
      <w:pPr>
        <w:tabs>
          <w:tab w:pos="490" w:val="left"/>
        </w:tabs>
        <w:spacing w:after="60"/>
        <w:ind w:left="490" w:hanging="490"/>
      </w:pPr>
      <w:r>
        <w:rPr>
          <w:b/>
        </w:rPr>
        <w:t>4.</w:t>
      </w:r>
      <w:r>
        <w:tab/>
      </w:r>
      <w:r>
        <w:rPr>
          <w:b w:val="0"/>
          <w:i w:val="0"/>
        </w:rPr>
        <w:t>диспергируемые таблетки, раствор, сироп, аэрозоль</w:t>
      </w:r>
    </w:p>
    <w:p>
      <w:pPr>
        <w:ind w:left="288"/>
      </w:pPr>
      <w:r>
        <w:rPr>
          <w:b/>
          <w:color w:val="173C49"/>
        </w:rPr>
        <w:t>Правильный ответ:</w:t>
      </w:r>
      <w:r>
        <w:br/>
      </w:r>
      <w:r>
        <w:rPr>
          <w:b/>
          <w:i w:val="0"/>
        </w:rPr>
        <w:t>1 - масляный раствор, водный раствор, таблетки, капсулы</w:t>
      </w:r>
    </w:p>
    <w:p>
      <w:pPr>
        <w:spacing w:after="58"/>
      </w:pPr>
      <w:r>
        <w:rPr>
          <w:b w:val="0"/>
          <w:i w:val="0"/>
        </w:rPr>
        <w:t>Схемы лечения дефицита и недостаточности витамина D</w:t>
      </w:r>
    </w:p>
    <w:tbl>
      <w:tblPr>
        <w:tblStyle w:val="TableGrid"/>
        <w:tblW w:type="auto" w:w="0"/>
        <w:tblLook w:firstColumn="1" w:firstRow="1" w:lastColumn="0" w:lastRow="0" w:noHBand="0" w:noVBand="1" w:val="04A0"/>
      </w:tblPr>
      <w:tblGrid>
        <w:gridCol w:w="3373"/>
        <w:gridCol w:w="3373"/>
        <w:gridCol w:w="3373"/>
      </w:tblGrid>
      <w:tr>
        <w:trPr>
          <w:tblHeader w:val="true"/>
        </w:trPr>
        <w:tc>
          <w:tcPr>
            <w:tcW w:type="dxa" w:w="3373"/>
          </w:tcPr>
          <w:p>
            <w:r>
              <w:rPr>
                <w:b/>
                <w:i w:val="0"/>
              </w:rPr>
              <w:t>Нативные препараты витамина D</w:t>
            </w:r>
          </w:p>
        </w:tc>
        <w:tc>
          <w:tcPr>
            <w:tcW w:type="dxa" w:w="3373"/>
          </w:tcPr>
          <w:p/>
        </w:tc>
        <w:tc>
          <w:tcPr>
            <w:tcW w:type="dxa" w:w="3373"/>
          </w:tcPr>
          <w:p/>
        </w:tc>
      </w:tr>
      <w:tr>
        <w:tc>
          <w:tcPr>
            <w:tcW w:type="dxa" w:w="3373"/>
          </w:tcPr>
          <w:p>
            <w:r>
              <w:rPr>
                <w:b w:val="0"/>
                <w:i w:val="0"/>
              </w:rPr>
              <w:t>Название препарата</w:t>
            </w:r>
          </w:p>
        </w:tc>
        <w:tc>
          <w:tcPr>
            <w:tcW w:type="dxa" w:w="3373"/>
          </w:tcPr>
          <w:p>
            <w:r>
              <w:rPr>
                <w:b w:val="0"/>
                <w:i w:val="0"/>
              </w:rPr>
              <w:t>Форма выпуска</w:t>
            </w:r>
          </w:p>
        </w:tc>
        <w:tc>
          <w:tcPr>
            <w:tcW w:type="dxa" w:w="3373"/>
          </w:tcPr>
          <w:p>
            <w:r>
              <w:rPr>
                <w:b w:val="0"/>
                <w:i w:val="0"/>
              </w:rPr>
              <w:t>Дозировка</w:t>
            </w:r>
          </w:p>
        </w:tc>
      </w:tr>
      <w:tr>
        <w:tc>
          <w:tcPr>
            <w:tcW w:type="dxa" w:w="3373"/>
          </w:tcPr>
          <w:p>
            <w:r>
              <w:rPr>
                <w:b w:val="0"/>
                <w:i w:val="0"/>
              </w:rPr>
              <w:t>Колекальциферол Код ATX: A11CC05 (Colecalciferol)</w:t>
            </w:r>
          </w:p>
        </w:tc>
        <w:tc>
          <w:tcPr>
            <w:tcW w:type="dxa" w:w="3373"/>
          </w:tcPr>
          <w:p>
            <w:r>
              <w:rPr>
                <w:b w:val="0"/>
                <w:i w:val="0"/>
              </w:rPr>
              <w:t>Масляный раствор</w:t>
            </w:r>
          </w:p>
        </w:tc>
        <w:tc>
          <w:tcPr>
            <w:tcW w:type="dxa" w:w="3373"/>
          </w:tcPr>
          <w:p>
            <w:r>
              <w:rPr>
                <w:b w:val="0"/>
                <w:i w:val="0"/>
              </w:rPr>
              <w:t>20 000 МЕ (500 мкг) в 1 мл во флаконе-капельнице 10 мл (около 500 МЕ в одной капле*)</w:t>
            </w:r>
          </w:p>
        </w:tc>
      </w:tr>
      <w:tr>
        <w:tc>
          <w:tcPr>
            <w:tcW w:type="dxa" w:w="3373"/>
          </w:tcPr>
          <w:p/>
        </w:tc>
        <w:tc>
          <w:tcPr>
            <w:tcW w:type="dxa" w:w="3373"/>
          </w:tcPr>
          <w:p>
            <w:r>
              <w:rPr>
                <w:b w:val="0"/>
                <w:i w:val="0"/>
              </w:rPr>
              <w:t>Водный раствор</w:t>
            </w:r>
          </w:p>
        </w:tc>
        <w:tc>
          <w:tcPr>
            <w:tcW w:type="dxa" w:w="3373"/>
          </w:tcPr>
          <w:p>
            <w:r>
              <w:rPr>
                <w:b w:val="0"/>
                <w:i w:val="0"/>
              </w:rPr>
              <w:t>15 000 МЕ (375 мкг) в 1 мл во флаконе-капельнице 10 мл, 15 мл, 20 мл, 25 мл, 30 мл (около 500 МЕ в одной капле*)</w:t>
            </w:r>
          </w:p>
        </w:tc>
      </w:tr>
      <w:tr>
        <w:tc>
          <w:tcPr>
            <w:tcW w:type="dxa" w:w="3373"/>
          </w:tcPr>
          <w:p/>
        </w:tc>
        <w:tc>
          <w:tcPr>
            <w:tcW w:type="dxa" w:w="3373"/>
          </w:tcPr>
          <w:p>
            <w:r>
              <w:rPr>
                <w:b w:val="0"/>
                <w:i w:val="0"/>
              </w:rPr>
              <w:t>Таблетки</w:t>
            </w:r>
          </w:p>
        </w:tc>
        <w:tc>
          <w:tcPr>
            <w:tcW w:type="dxa" w:w="3373"/>
          </w:tcPr>
          <w:p>
            <w:r>
              <w:rPr>
                <w:b w:val="0"/>
                <w:i w:val="0"/>
              </w:rPr>
              <w:t>500 МЕ, 1000 МЕ, 2000 МЕ</w:t>
            </w:r>
          </w:p>
        </w:tc>
      </w:tr>
      <w:tr>
        <w:tc>
          <w:tcPr>
            <w:tcW w:type="dxa" w:w="3373"/>
          </w:tcPr>
          <w:p/>
        </w:tc>
        <w:tc>
          <w:tcPr>
            <w:tcW w:type="dxa" w:w="3373"/>
          </w:tcPr>
          <w:p>
            <w:r>
              <w:rPr>
                <w:b w:val="0"/>
                <w:i w:val="0"/>
              </w:rPr>
              <w:t>Капсулы</w:t>
            </w:r>
          </w:p>
        </w:tc>
        <w:tc>
          <w:tcPr>
            <w:tcW w:type="dxa" w:w="3373"/>
          </w:tcPr>
          <w:p>
            <w:r>
              <w:rPr>
                <w:b w:val="0"/>
                <w:i w:val="0"/>
              </w:rPr>
              <w:t>2000 МЕ, 4000 МЕ, 10 000 МЕ</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29">
        <w:r>
          <w:rPr>
            <w:color w:val="173C49"/>
            <w:u w:val="single"/>
          </w:rPr>
          <w:t xml:space="preserve">(1)</w:t>
        </w:r>
      </w:hyperlink>
    </w:p>
    <w:p>
      <w:pPr>
        <w:pStyle w:val="Heading3"/>
        <w:keepNext/>
      </w:pPr>
      <w:r>
        <w:rPr>
          <w:b/>
          <w:color w:val="173C49"/>
        </w:rPr>
        <w:t>Вопрос 9.</w:t>
      </w:r>
    </w:p>
    <w:p>
      <w:pPr>
        <w:keepNext/>
      </w:pPr>
      <w:r>
        <w:rPr>
          <w:b w:val="0"/>
          <w:i w:val="0"/>
        </w:rPr>
        <w:t xml:space="preserve">К побочному эффекту Колекальциферола относится </w:t>
      </w:r>
      <w:r>
        <w:rPr>
          <w:b w:val="0"/>
          <w:i w:val="0"/>
        </w:rPr>
        <w:t>________________________</w:t>
      </w:r>
      <w:r>
        <w:rPr>
          <w:b w:val="0"/>
          <w:i w:val="0"/>
        </w:rPr>
        <w:t xml:space="preserve"> в сыворотке крови</w:t>
      </w:r>
    </w:p>
    <w:p>
      <w:pPr>
        <w:tabs>
          <w:tab w:pos="490" w:val="left"/>
        </w:tabs>
        <w:spacing w:after="60"/>
        <w:ind w:left="490" w:hanging="490"/>
      </w:pPr>
      <w:r>
        <w:rPr>
          <w:b/>
        </w:rPr>
        <w:t>1.</w:t>
      </w:r>
      <w:r>
        <w:tab/>
      </w:r>
      <w:r>
        <w:rPr>
          <w:b w:val="0"/>
          <w:i w:val="0"/>
        </w:rPr>
        <w:t>повышение уровня мочевой кислоты</w:t>
      </w:r>
    </w:p>
    <w:p>
      <w:pPr>
        <w:tabs>
          <w:tab w:pos="490" w:val="left"/>
        </w:tabs>
        <w:spacing w:after="60"/>
        <w:ind w:left="490" w:hanging="490"/>
      </w:pPr>
      <w:r>
        <w:rPr>
          <w:b/>
        </w:rPr>
        <w:t>2.</w:t>
      </w:r>
      <w:r>
        <w:tab/>
      </w:r>
      <w:r>
        <w:rPr>
          <w:b w:val="0"/>
          <w:i w:val="0"/>
        </w:rPr>
        <w:t>снижение уровня кальция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повышение уровня кальция</w:t>
      </w:r>
    </w:p>
    <w:p>
      <w:pPr>
        <w:tabs>
          <w:tab w:pos="490" w:val="left"/>
        </w:tabs>
        <w:spacing w:after="60"/>
        <w:ind w:left="490" w:hanging="490"/>
      </w:pPr>
      <w:r>
        <w:rPr>
          <w:b/>
        </w:rPr>
        <w:t>4.</w:t>
      </w:r>
      <w:r>
        <w:tab/>
      </w:r>
      <w:r>
        <w:rPr>
          <w:b w:val="0"/>
          <w:i w:val="0"/>
        </w:rPr>
        <w:t>повышение уровня общего холестерина</w:t>
      </w:r>
    </w:p>
    <w:p>
      <w:pPr>
        <w:ind w:left="288"/>
      </w:pPr>
      <w:r>
        <w:rPr>
          <w:b/>
          <w:color w:val="173C49"/>
        </w:rPr>
        <w:t>Правильный ответ:</w:t>
      </w:r>
      <w:r>
        <w:br/>
      </w:r>
      <w:r>
        <w:rPr>
          <w:b/>
          <w:i w:val="0"/>
        </w:rPr>
        <w:t>3 - повышение уровня кальция</w:t>
      </w:r>
    </w:p>
    <w:p>
      <w:pPr>
        <w:spacing w:after="58"/>
      </w:pPr>
      <w:r>
        <w:rPr>
          <w:b w:val="0"/>
          <w:i w:val="0"/>
        </w:rPr>
        <w:t>Причинами витамин D-опосредованной гиперкальциемии может является избыточное употребление препаратов витамина D, эктопическая продукция активного метаболита витамина D (1,25-дигидроксивитамина D) или снижение активности 24- гидроксилазы в связи с наличием инактивирующей мутации CYP24A1. Основными лабораторными находками при интоксикации витамином D, обусловливающими клиническую симптоматику, является гиперкальциемия и гиперкальциурия, также отмечается гиперфосфатемия и супрессия уровня ПТГ. Несмотря на то, что точный отрезной порог для концентрации 25(ОН)D, сопровождающейся риском токсичности, неизвестен, эксперты склоняются к тому, что концентрации 25(OH)D выше 80 нг/мл в сочетании с гиперкальциемией и анамнезом приема высоких доз витамина D следует рассматривать в качестве интоксикации витамином D.</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0">
        <w:r>
          <w:rPr>
            <w:color w:val="173C49"/>
            <w:u w:val="single"/>
          </w:rPr>
          <w:t xml:space="preserve">(1)</w:t>
        </w:r>
      </w:hyperlink>
    </w:p>
    <w:p>
      <w:pPr>
        <w:pStyle w:val="Heading3"/>
        <w:keepNext/>
      </w:pPr>
      <w:r>
        <w:rPr>
          <w:b/>
          <w:color w:val="173C49"/>
        </w:rPr>
        <w:t>Вопрос 10.</w:t>
      </w:r>
    </w:p>
    <w:p>
      <w:pPr>
        <w:keepNext/>
      </w:pPr>
      <w:r>
        <w:rPr>
          <w:b w:val="0"/>
          <w:i w:val="0"/>
        </w:rPr>
        <w:t>Наибольшее содержание витамина D в пище отмечено в</w:t>
      </w:r>
    </w:p>
    <w:p>
      <w:pPr>
        <w:tabs>
          <w:tab w:pos="490" w:val="left"/>
        </w:tabs>
        <w:spacing w:after="60"/>
        <w:ind w:left="490" w:hanging="490"/>
      </w:pPr>
      <w:r>
        <w:rPr>
          <w:b/>
        </w:rPr>
        <w:t>1.</w:t>
      </w:r>
      <w:r>
        <w:tab/>
      </w:r>
      <w:r>
        <w:rPr>
          <w:b w:val="0"/>
          <w:i w:val="0"/>
        </w:rPr>
        <w:t>грибах</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рыбе</w:t>
      </w:r>
    </w:p>
    <w:p>
      <w:pPr>
        <w:tabs>
          <w:tab w:pos="490" w:val="left"/>
        </w:tabs>
        <w:spacing w:after="60"/>
        <w:ind w:left="490" w:hanging="490"/>
      </w:pPr>
      <w:r>
        <w:rPr>
          <w:b/>
        </w:rPr>
        <w:t>3.</w:t>
      </w:r>
      <w:r>
        <w:tab/>
      </w:r>
      <w:r>
        <w:rPr>
          <w:b w:val="0"/>
          <w:i w:val="0"/>
        </w:rPr>
        <w:t>говяжьей печени</w:t>
      </w:r>
    </w:p>
    <w:p>
      <w:pPr>
        <w:tabs>
          <w:tab w:pos="490" w:val="left"/>
        </w:tabs>
        <w:spacing w:after="60"/>
        <w:ind w:left="490" w:hanging="490"/>
      </w:pPr>
      <w:r>
        <w:rPr>
          <w:b/>
        </w:rPr>
        <w:t>4.</w:t>
      </w:r>
      <w:r>
        <w:tab/>
      </w:r>
      <w:r>
        <w:rPr>
          <w:b w:val="0"/>
          <w:i w:val="0"/>
        </w:rPr>
        <w:t>молоке</w:t>
      </w:r>
    </w:p>
    <w:p>
      <w:pPr>
        <w:ind w:left="288"/>
      </w:pPr>
      <w:r>
        <w:rPr>
          <w:b/>
          <w:color w:val="173C49"/>
        </w:rPr>
        <w:t>Правильный ответ:</w:t>
      </w:r>
      <w:r>
        <w:br/>
      </w:r>
      <w:r>
        <w:rPr>
          <w:b/>
          <w:i w:val="0"/>
        </w:rPr>
        <w:t>2 - рыбе</w:t>
      </w:r>
    </w:p>
    <w:p>
      <w:pPr>
        <w:spacing w:after="58"/>
      </w:pPr>
      <w:r>
        <w:rPr>
          <w:b w:val="0"/>
          <w:i w:val="0"/>
        </w:rPr>
        <w:t>Источники витамина D в пище.</w:t>
      </w:r>
    </w:p>
    <w:tbl>
      <w:tblPr>
        <w:tblStyle w:val="TableGrid"/>
        <w:tblW w:type="auto" w:w="0"/>
        <w:tblLook w:firstColumn="1" w:firstRow="1" w:lastColumn="0" w:lastRow="0" w:noHBand="0" w:noVBand="1" w:val="04A0"/>
      </w:tblPr>
      <w:tblGrid>
        <w:gridCol w:w="5060"/>
        <w:gridCol w:w="5060"/>
      </w:tblGrid>
      <w:tr>
        <w:trPr>
          <w:tblHeader w:val="true"/>
        </w:trPr>
        <w:tc>
          <w:tcPr>
            <w:tcW w:type="dxa" w:w="5060"/>
          </w:tcPr>
          <w:p>
            <w:r>
              <w:rPr>
                <w:b/>
                <w:i w:val="0"/>
              </w:rPr>
              <w:t>Естественные пищевые источники</w:t>
            </w:r>
          </w:p>
        </w:tc>
        <w:tc>
          <w:tcPr>
            <w:tcW w:type="dxa" w:w="5060"/>
          </w:tcPr>
          <w:p>
            <w:r>
              <w:rPr>
                <w:b/>
                <w:i w:val="0"/>
              </w:rPr>
              <w:t>МЕ витамина D (D</w:t>
            </w:r>
            <w:r>
              <w:rPr>
                <w:b/>
                <w:i w:val="0"/>
                <w:vertAlign w:val="subscript"/>
              </w:rPr>
              <w:t>2</w:t>
            </w:r>
            <w:r>
              <w:rPr>
                <w:b/>
                <w:i w:val="0"/>
              </w:rPr>
              <w:t xml:space="preserve"> или D</w:t>
            </w:r>
            <w:r>
              <w:rPr>
                <w:b/>
                <w:i w:val="0"/>
                <w:vertAlign w:val="subscript"/>
              </w:rPr>
              <w:t>3</w:t>
            </w:r>
            <w:r>
              <w:rPr>
                <w:b/>
                <w:i w:val="0"/>
              </w:rPr>
              <w:t>)</w:t>
            </w:r>
          </w:p>
        </w:tc>
      </w:tr>
      <w:tr>
        <w:tc>
          <w:tcPr>
            <w:tcW w:type="dxa" w:w="5060"/>
          </w:tcPr>
          <w:p>
            <w:r>
              <w:rPr>
                <w:b w:val="0"/>
                <w:i w:val="0"/>
              </w:rPr>
              <w:t>Дикий лосось</w:t>
            </w:r>
          </w:p>
        </w:tc>
        <w:tc>
          <w:tcPr>
            <w:tcW w:type="dxa" w:w="5060"/>
          </w:tcPr>
          <w:p>
            <w:r>
              <w:rPr>
                <w:b w:val="0"/>
                <w:i w:val="0"/>
              </w:rPr>
              <w:t>600-1000 МЕ на 100 г</w:t>
            </w:r>
          </w:p>
        </w:tc>
      </w:tr>
      <w:tr>
        <w:tc>
          <w:tcPr>
            <w:tcW w:type="dxa" w:w="5060"/>
          </w:tcPr>
          <w:p>
            <w:r>
              <w:rPr>
                <w:b w:val="0"/>
                <w:i w:val="0"/>
              </w:rPr>
              <w:t>Лосось, выращенный на ферме</w:t>
            </w:r>
          </w:p>
        </w:tc>
        <w:tc>
          <w:tcPr>
            <w:tcW w:type="dxa" w:w="5060"/>
          </w:tcPr>
          <w:p>
            <w:r>
              <w:rPr>
                <w:b w:val="0"/>
                <w:i w:val="0"/>
              </w:rPr>
              <w:t>100-250 МЕ на 100 г</w:t>
            </w:r>
          </w:p>
        </w:tc>
      </w:tr>
      <w:tr>
        <w:tc>
          <w:tcPr>
            <w:tcW w:type="dxa" w:w="5060"/>
          </w:tcPr>
          <w:p>
            <w:r>
              <w:rPr>
                <w:b w:val="0"/>
                <w:i w:val="0"/>
              </w:rPr>
              <w:t>Сельдь</w:t>
            </w:r>
          </w:p>
        </w:tc>
        <w:tc>
          <w:tcPr>
            <w:tcW w:type="dxa" w:w="5060"/>
          </w:tcPr>
          <w:p>
            <w:r>
              <w:rPr>
                <w:b w:val="0"/>
                <w:i w:val="0"/>
              </w:rPr>
              <w:t>294-1676 МЕ на 100 г</w:t>
            </w:r>
          </w:p>
        </w:tc>
      </w:tr>
      <w:tr>
        <w:tc>
          <w:tcPr>
            <w:tcW w:type="dxa" w:w="5060"/>
          </w:tcPr>
          <w:p>
            <w:r>
              <w:rPr>
                <w:b w:val="0"/>
                <w:i w:val="0"/>
              </w:rPr>
              <w:t>Сом</w:t>
            </w:r>
          </w:p>
        </w:tc>
        <w:tc>
          <w:tcPr>
            <w:tcW w:type="dxa" w:w="5060"/>
          </w:tcPr>
          <w:p>
            <w:r>
              <w:rPr>
                <w:b w:val="0"/>
                <w:i w:val="0"/>
              </w:rPr>
              <w:t>500 МЕ на 100 г</w:t>
            </w:r>
          </w:p>
        </w:tc>
      </w:tr>
      <w:tr>
        <w:tc>
          <w:tcPr>
            <w:tcW w:type="dxa" w:w="5060"/>
          </w:tcPr>
          <w:p>
            <w:r>
              <w:rPr>
                <w:b w:val="0"/>
                <w:i w:val="0"/>
              </w:rPr>
              <w:t>Консервированные сардины</w:t>
            </w:r>
          </w:p>
        </w:tc>
        <w:tc>
          <w:tcPr>
            <w:tcW w:type="dxa" w:w="5060"/>
          </w:tcPr>
          <w:p>
            <w:r>
              <w:rPr>
                <w:b w:val="0"/>
                <w:i w:val="0"/>
              </w:rPr>
              <w:t>300-600 МЕ на 100 г</w:t>
            </w:r>
          </w:p>
        </w:tc>
      </w:tr>
      <w:tr>
        <w:tc>
          <w:tcPr>
            <w:tcW w:type="dxa" w:w="5060"/>
          </w:tcPr>
          <w:p>
            <w:r>
              <w:rPr>
                <w:b w:val="0"/>
                <w:i w:val="0"/>
              </w:rPr>
              <w:t>Консервированная макрель</w:t>
            </w:r>
          </w:p>
        </w:tc>
        <w:tc>
          <w:tcPr>
            <w:tcW w:type="dxa" w:w="5060"/>
          </w:tcPr>
          <w:p>
            <w:r>
              <w:rPr>
                <w:b w:val="0"/>
                <w:i w:val="0"/>
              </w:rPr>
              <w:t>250 МЕ на 100 г</w:t>
            </w:r>
          </w:p>
        </w:tc>
      </w:tr>
      <w:tr>
        <w:tc>
          <w:tcPr>
            <w:tcW w:type="dxa" w:w="5060"/>
          </w:tcPr>
          <w:p>
            <w:r>
              <w:rPr>
                <w:b w:val="0"/>
                <w:i w:val="0"/>
              </w:rPr>
              <w:t>Консервированный тунец</w:t>
            </w:r>
          </w:p>
        </w:tc>
        <w:tc>
          <w:tcPr>
            <w:tcW w:type="dxa" w:w="5060"/>
          </w:tcPr>
          <w:p>
            <w:r>
              <w:rPr>
                <w:b w:val="0"/>
                <w:i w:val="0"/>
              </w:rPr>
              <w:t>236 МЕ на 100 г</w:t>
            </w:r>
          </w:p>
        </w:tc>
      </w:tr>
      <w:tr>
        <w:tc>
          <w:tcPr>
            <w:tcW w:type="dxa" w:w="5060"/>
          </w:tcPr>
          <w:p>
            <w:r>
              <w:rPr>
                <w:b w:val="0"/>
                <w:i w:val="0"/>
              </w:rPr>
              <w:t>Рыбий жир</w:t>
            </w:r>
          </w:p>
        </w:tc>
        <w:tc>
          <w:tcPr>
            <w:tcW w:type="dxa" w:w="5060"/>
          </w:tcPr>
          <w:p>
            <w:r>
              <w:rPr>
                <w:b w:val="0"/>
                <w:i w:val="0"/>
              </w:rPr>
              <w:t>400-1000 МЕ на 1 ст. ложку</w:t>
            </w:r>
          </w:p>
        </w:tc>
      </w:tr>
      <w:tr>
        <w:tc>
          <w:tcPr>
            <w:tcW w:type="dxa" w:w="5060"/>
          </w:tcPr>
          <w:p>
            <w:r>
              <w:rPr>
                <w:b w:val="0"/>
                <w:i w:val="0"/>
              </w:rPr>
              <w:t>Грибы, облученные УФ</w:t>
            </w:r>
          </w:p>
        </w:tc>
        <w:tc>
          <w:tcPr>
            <w:tcW w:type="dxa" w:w="5060"/>
          </w:tcPr>
          <w:p>
            <w:r>
              <w:rPr>
                <w:b w:val="0"/>
                <w:i w:val="0"/>
              </w:rPr>
              <w:t>446 МЕ на 100 г</w:t>
            </w:r>
          </w:p>
        </w:tc>
      </w:tr>
      <w:tr>
        <w:tc>
          <w:tcPr>
            <w:tcW w:type="dxa" w:w="5060"/>
          </w:tcPr>
          <w:p>
            <w:r>
              <w:rPr>
                <w:b w:val="0"/>
                <w:i w:val="0"/>
              </w:rPr>
              <w:t>Грибы, не облученные УФ</w:t>
            </w:r>
          </w:p>
        </w:tc>
        <w:tc>
          <w:tcPr>
            <w:tcW w:type="dxa" w:w="5060"/>
          </w:tcPr>
          <w:p>
            <w:r>
              <w:rPr>
                <w:b w:val="0"/>
                <w:i w:val="0"/>
              </w:rPr>
              <w:t>10-100 МЕ на 100 г</w:t>
            </w:r>
          </w:p>
        </w:tc>
      </w:tr>
      <w:tr>
        <w:tc>
          <w:tcPr>
            <w:tcW w:type="dxa" w:w="5060"/>
          </w:tcPr>
          <w:p>
            <w:r>
              <w:rPr>
                <w:b w:val="0"/>
                <w:i w:val="0"/>
              </w:rPr>
              <w:t>Сливочное масло</w:t>
            </w:r>
          </w:p>
        </w:tc>
        <w:tc>
          <w:tcPr>
            <w:tcW w:type="dxa" w:w="5060"/>
          </w:tcPr>
          <w:p>
            <w:r>
              <w:rPr>
                <w:b w:val="0"/>
                <w:i w:val="0"/>
              </w:rPr>
              <w:t>52 МЕ на 100 г</w:t>
            </w:r>
          </w:p>
        </w:tc>
      </w:tr>
      <w:tr>
        <w:tc>
          <w:tcPr>
            <w:tcW w:type="dxa" w:w="5060"/>
          </w:tcPr>
          <w:p>
            <w:r>
              <w:rPr>
                <w:b w:val="0"/>
                <w:i w:val="0"/>
              </w:rPr>
              <w:t>Молоко</w:t>
            </w:r>
          </w:p>
        </w:tc>
        <w:tc>
          <w:tcPr>
            <w:tcW w:type="dxa" w:w="5060"/>
          </w:tcPr>
          <w:p>
            <w:r>
              <w:rPr>
                <w:b w:val="0"/>
                <w:i w:val="0"/>
              </w:rPr>
              <w:t>2 МЕ на 100 г</w:t>
            </w:r>
          </w:p>
        </w:tc>
      </w:tr>
      <w:tr>
        <w:tc>
          <w:tcPr>
            <w:tcW w:type="dxa" w:w="5060"/>
          </w:tcPr>
          <w:p>
            <w:r>
              <w:rPr>
                <w:b w:val="0"/>
                <w:i w:val="0"/>
              </w:rPr>
              <w:t>Молоко, обогащенное витамином D</w:t>
            </w:r>
          </w:p>
        </w:tc>
        <w:tc>
          <w:tcPr>
            <w:tcW w:type="dxa" w:w="5060"/>
          </w:tcPr>
          <w:p>
            <w:r>
              <w:rPr>
                <w:b w:val="0"/>
                <w:i w:val="0"/>
              </w:rPr>
              <w:t>80-100 МЕ на стакан</w:t>
            </w:r>
          </w:p>
        </w:tc>
      </w:tr>
      <w:tr>
        <w:tc>
          <w:tcPr>
            <w:tcW w:type="dxa" w:w="5060"/>
          </w:tcPr>
          <w:p>
            <w:r>
              <w:rPr>
                <w:b w:val="0"/>
                <w:i w:val="0"/>
              </w:rPr>
              <w:t>Сметана</w:t>
            </w:r>
          </w:p>
        </w:tc>
        <w:tc>
          <w:tcPr>
            <w:tcW w:type="dxa" w:w="5060"/>
          </w:tcPr>
          <w:p>
            <w:r>
              <w:rPr>
                <w:b w:val="0"/>
                <w:i w:val="0"/>
              </w:rPr>
              <w:t>50 МЕ на 100 г</w:t>
            </w:r>
          </w:p>
        </w:tc>
      </w:tr>
      <w:tr>
        <w:tc>
          <w:tcPr>
            <w:tcW w:type="dxa" w:w="5060"/>
          </w:tcPr>
          <w:p>
            <w:r>
              <w:rPr>
                <w:b w:val="0"/>
                <w:i w:val="0"/>
              </w:rPr>
              <w:t>Яичный желток</w:t>
            </w:r>
          </w:p>
        </w:tc>
        <w:tc>
          <w:tcPr>
            <w:tcW w:type="dxa" w:w="5060"/>
          </w:tcPr>
          <w:p>
            <w:r>
              <w:rPr>
                <w:b w:val="0"/>
                <w:i w:val="0"/>
              </w:rPr>
              <w:t>20 МЕ в 1 шт</w:t>
            </w:r>
          </w:p>
        </w:tc>
      </w:tr>
      <w:tr>
        <w:tc>
          <w:tcPr>
            <w:tcW w:type="dxa" w:w="5060"/>
          </w:tcPr>
          <w:p>
            <w:r>
              <w:rPr>
                <w:b w:val="0"/>
                <w:i w:val="0"/>
              </w:rPr>
              <w:t>Сыр</w:t>
            </w:r>
          </w:p>
        </w:tc>
        <w:tc>
          <w:tcPr>
            <w:tcW w:type="dxa" w:w="5060"/>
          </w:tcPr>
          <w:p>
            <w:r>
              <w:rPr>
                <w:b w:val="0"/>
                <w:i w:val="0"/>
              </w:rPr>
              <w:t>44 МЕ на 100 г</w:t>
            </w:r>
          </w:p>
        </w:tc>
      </w:tr>
      <w:tr>
        <w:tc>
          <w:tcPr>
            <w:tcW w:type="dxa" w:w="5060"/>
          </w:tcPr>
          <w:p>
            <w:r>
              <w:rPr>
                <w:b w:val="0"/>
                <w:i w:val="0"/>
              </w:rPr>
              <w:t>Говяжья печень</w:t>
            </w:r>
          </w:p>
        </w:tc>
        <w:tc>
          <w:tcPr>
            <w:tcW w:type="dxa" w:w="5060"/>
          </w:tcPr>
          <w:p>
            <w:r>
              <w:rPr>
                <w:b w:val="0"/>
                <w:i w:val="0"/>
              </w:rPr>
              <w:t>45-15 МЕ на 100 г</w:t>
            </w:r>
          </w:p>
        </w:tc>
      </w:tr>
    </w:tbl>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1">
        <w:r>
          <w:rPr>
            <w:color w:val="173C49"/>
            <w:u w:val="single"/>
          </w:rPr>
          <w:t xml:space="preserve">(1)</w:t>
        </w:r>
      </w:hyperlink>
    </w:p>
    <w:p>
      <w:pPr>
        <w:pStyle w:val="Heading3"/>
        <w:keepNext/>
      </w:pPr>
      <w:r>
        <w:rPr>
          <w:b/>
          <w:color w:val="173C49"/>
        </w:rPr>
        <w:t>Вопрос 11.</w:t>
      </w:r>
    </w:p>
    <w:p>
      <w:pPr>
        <w:keepNext/>
      </w:pPr>
      <w:r>
        <w:rPr>
          <w:b w:val="0"/>
          <w:i w:val="0"/>
        </w:rPr>
        <w:t xml:space="preserve">Взрослым лицам для профилактики дефицита витамина D рекомендуется поступление </w:t>
      </w:r>
      <w:r>
        <w:rPr>
          <w:b w:val="0"/>
          <w:i w:val="0"/>
        </w:rPr>
        <w:t>___________</w:t>
      </w:r>
      <w:r>
        <w:rPr>
          <w:b w:val="0"/>
          <w:i w:val="0"/>
        </w:rPr>
        <w:t xml:space="preserve"> МЕ витамина D в сутки</w:t>
      </w:r>
    </w:p>
    <w:p>
      <w:pPr>
        <w:tabs>
          <w:tab w:pos="490" w:val="left"/>
        </w:tabs>
        <w:spacing w:after="60"/>
        <w:ind w:left="490" w:hanging="490"/>
      </w:pPr>
      <w:r>
        <w:rPr>
          <w:b/>
        </w:rPr>
        <w:t>1.</w:t>
      </w:r>
      <w:r>
        <w:tab/>
      </w:r>
      <w:r>
        <w:rPr>
          <w:b w:val="0"/>
          <w:i w:val="0"/>
        </w:rPr>
        <w:t>3000 – 4000</w:t>
      </w:r>
    </w:p>
    <w:p>
      <w:pPr>
        <w:tabs>
          <w:tab w:pos="490" w:val="left"/>
        </w:tabs>
        <w:spacing w:after="60"/>
        <w:ind w:left="490" w:hanging="490"/>
      </w:pPr>
      <w:r>
        <w:rPr>
          <w:b/>
        </w:rPr>
        <w:t>2.</w:t>
      </w:r>
      <w:r>
        <w:tab/>
      </w:r>
      <w:r>
        <w:rPr>
          <w:b w:val="0"/>
          <w:i w:val="0"/>
        </w:rPr>
        <w:t>1500 - 2000</w:t>
      </w:r>
    </w:p>
    <w:p>
      <w:pPr>
        <w:tabs>
          <w:tab w:pos="490" w:val="left"/>
        </w:tabs>
        <w:spacing w:after="60"/>
        <w:ind w:left="490" w:hanging="490"/>
      </w:pPr>
      <w:r>
        <w:rPr>
          <w:b/>
        </w:rPr>
        <w:t>3.</w:t>
      </w:r>
      <w:r>
        <w:tab/>
      </w:r>
      <w:r>
        <w:rPr>
          <w:b w:val="0"/>
          <w:i w:val="0"/>
        </w:rPr>
        <w:t>2000 – 3000</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800 – 1000</w:t>
      </w:r>
    </w:p>
    <w:p>
      <w:pPr>
        <w:ind w:left="288"/>
      </w:pPr>
      <w:r>
        <w:rPr>
          <w:b/>
          <w:color w:val="173C49"/>
        </w:rPr>
        <w:t>Правильный ответ:</w:t>
      </w:r>
      <w:r>
        <w:br/>
      </w:r>
      <w:r>
        <w:rPr>
          <w:b/>
          <w:i w:val="0"/>
        </w:rPr>
        <w:t>4 - 800 – 1000</w:t>
      </w:r>
    </w:p>
    <w:p>
      <w:pPr>
        <w:spacing w:after="58"/>
      </w:pPr>
      <w:r>
        <w:rPr>
          <w:b w:val="0"/>
          <w:i w:val="0"/>
        </w:rPr>
        <w:t>Взрослым лицам для профилактики дефицита витамина D рекомендуется поступление 800 - 1000 МЕ витамина D в сутки</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3">
        <w:r>
          <w:rPr>
            <w:color w:val="173C49"/>
            <w:u w:val="single"/>
          </w:rPr>
          <w:t xml:space="preserve">(1)</w:t>
        </w:r>
      </w:hyperlink>
    </w:p>
    <w:p>
      <w:pPr>
        <w:pStyle w:val="Heading2"/>
      </w:pPr>
      <w:r>
        <w:t>4. Вариатив</w:t>
      </w:r>
    </w:p>
    <w:p>
      <w:pPr>
        <w:pStyle w:val="Heading3"/>
        <w:keepNext/>
      </w:pPr>
      <w:r>
        <w:rPr>
          <w:b/>
          <w:color w:val="173C49"/>
        </w:rPr>
        <w:t>Вопрос 12.</w:t>
      </w:r>
    </w:p>
    <w:p>
      <w:pPr>
        <w:keepNext/>
      </w:pPr>
      <w:r>
        <w:rPr>
          <w:b w:val="0"/>
          <w:i w:val="0"/>
        </w:rPr>
        <w:t xml:space="preserve">Для восполнения суточной потребности в кальции, взрослому человеку необходимо потреблять не менее </w:t>
      </w:r>
      <w:r>
        <w:rPr>
          <w:b w:val="0"/>
          <w:i w:val="0"/>
        </w:rPr>
        <w:t>________</w:t>
      </w:r>
      <w:r>
        <w:rPr>
          <w:b w:val="0"/>
          <w:i w:val="0"/>
        </w:rPr>
        <w:t xml:space="preserve"> порции (-ий) молочных продуктов в день</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трёх</w:t>
      </w:r>
    </w:p>
    <w:p>
      <w:pPr>
        <w:tabs>
          <w:tab w:pos="490" w:val="left"/>
        </w:tabs>
        <w:spacing w:after="60"/>
        <w:ind w:left="490" w:hanging="490"/>
      </w:pPr>
      <w:r>
        <w:rPr>
          <w:b/>
        </w:rPr>
        <w:t>2.</w:t>
      </w:r>
      <w:r>
        <w:tab/>
      </w:r>
      <w:r>
        <w:rPr>
          <w:b w:val="0"/>
          <w:i w:val="0"/>
        </w:rPr>
        <w:t>четырёх</w:t>
      </w:r>
    </w:p>
    <w:p>
      <w:pPr>
        <w:tabs>
          <w:tab w:pos="490" w:val="left"/>
        </w:tabs>
        <w:spacing w:after="60"/>
        <w:ind w:left="490" w:hanging="490"/>
      </w:pPr>
      <w:r>
        <w:rPr>
          <w:b/>
        </w:rPr>
        <w:t>3.</w:t>
      </w:r>
      <w:r>
        <w:tab/>
      </w:r>
      <w:r>
        <w:rPr>
          <w:b w:val="0"/>
          <w:i w:val="0"/>
        </w:rPr>
        <w:t>одной</w:t>
      </w:r>
    </w:p>
    <w:p>
      <w:pPr>
        <w:tabs>
          <w:tab w:pos="490" w:val="left"/>
        </w:tabs>
        <w:spacing w:after="60"/>
        <w:ind w:left="490" w:hanging="490"/>
      </w:pPr>
      <w:r>
        <w:rPr>
          <w:b/>
        </w:rPr>
        <w:t>4.</w:t>
      </w:r>
      <w:r>
        <w:tab/>
      </w:r>
      <w:r>
        <w:rPr>
          <w:b w:val="0"/>
          <w:i w:val="0"/>
        </w:rPr>
        <w:t>двух</w:t>
      </w:r>
    </w:p>
    <w:p>
      <w:pPr>
        <w:ind w:left="288"/>
      </w:pPr>
      <w:r>
        <w:rPr>
          <w:b/>
          <w:color w:val="173C49"/>
        </w:rPr>
        <w:t>Правильный ответ:</w:t>
      </w:r>
      <w:r>
        <w:br/>
      </w:r>
      <w:r>
        <w:rPr>
          <w:b/>
          <w:i w:val="0"/>
        </w:rPr>
        <w:t>1 - трёх</w:t>
      </w:r>
    </w:p>
    <w:p>
      <w:pPr>
        <w:spacing w:after="58"/>
      </w:pPr>
      <w:r>
        <w:rPr>
          <w:b w:val="0"/>
          <w:i w:val="0"/>
        </w:rPr>
        <w:t>Всем лицам рекомендуется адекватное возрасту потребление кальция с пищей. При недостаточном потреблении кальция с продуктами питания необходимо применение добавок кальция для обеспечения суточной потребности в этом элементе. (Уровень доказательности АI)</w:t>
      </w:r>
    </w:p>
    <w:p>
      <w:pPr>
        <w:spacing w:after="58"/>
      </w:pPr>
      <w:r>
        <w:rPr>
          <w:b w:val="0"/>
          <w:i w:val="0"/>
        </w:rPr>
        <w:t>Кальций является строительным материалом для костной ткани, основным участником кальций-фосфорного обмена. Действие витамина D в основном направлено на оптимизацию гомеостаза кальция в организме, в том числе, для целей минерализации костного матрикса, но возможности его не безграничны и в условиях критического дефицита кальция проявления дефицита витамина D в виде рахита/остеомаляции резко возрастают.</w:t>
      </w:r>
    </w:p>
    <w:p>
      <w:pPr>
        <w:spacing w:after="58"/>
      </w:pPr>
      <w:r>
        <w:rPr>
          <w:b w:val="0"/>
          <w:i w:val="0"/>
        </w:rPr>
        <w:t>Кальций содержится во многих продуктах питания, но в различных количествах. Так, лучшим его источником являются молочные продукты. Считается, 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100 г творога, 200 мл молока или кисломолочных продуктов, 125 г йогурта или 30 г сыра. Жирность молочных продуктов не влияет на содержание в них кальция.</w:t>
      </w:r>
    </w:p>
    <w:p>
      <w:pPr>
        <w:spacing w:after="58"/>
      </w:pPr>
      <w:hyperlink r:id="rId34">
        <w:r>
          <w:rPr>
            <w:color w:val="173C49"/>
            <w:u w:val="single"/>
          </w:rPr>
          <w:t xml:space="preserve">Клинические рекомендации Министерства здравоохранения Российской Федерации. Дефицит витамина D у взрослых, 2016</w:t>
        </w:r>
      </w:hyperlink>
    </w:p>
    <w:p>
      <w:pPr>
        <w:spacing w:after="58"/>
      </w:pPr>
      <w:hyperlink r:id="rId35">
        <w:r>
          <w:rPr>
            <w:color w:val="173C49"/>
            <w:u w:val="single"/>
          </w:rPr>
          <w:t xml:space="preserve">(1)</w:t>
        </w:r>
      </w:hyperlink>
    </w:p>
    <w:p>
      <w:pPr>
        <w:spacing w:after="58"/>
      </w:pPr>
      <w:r>
        <w:rPr>
          <w:b w:val="0"/>
          <w:i w:val="0"/>
        </w:rPr>
        <w:t>Чтобы восполнить суточную потребность в кальции, взрослому человеку необходимо потреблять не менее трёх порций молочных продуктов в день. К примеру, одной порцией считается 150 г творога, 200 мл молока или кисломолочных продуктов (кефир, ряженка, айран и др.), 150 г йогурта или 30 г твердого сыра</w:t>
      </w:r>
    </w:p>
    <w:p>
      <w:pPr>
        <w:spacing w:after="58"/>
      </w:pPr>
      <w:hyperlink r:id="rId20">
        <w:r>
          <w:rPr>
            <w:color w:val="173C49"/>
            <w:u w:val="single"/>
          </w:rPr>
          <w:t xml:space="preserve">Клинические рекомендации Общественной организации «Российская Ассоциация Эндокринологов». Дефицит витамина D. 2021 г.</w:t>
        </w:r>
      </w:hyperlink>
    </w:p>
    <w:p>
      <w:pPr>
        <w:spacing w:after="58"/>
      </w:pPr>
      <w:hyperlink r:id="rId36">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Среднее образование</w:t>
      </w:r>
      <w:r>
        <w:rPr>
          <w:b/>
        </w:rPr>
        <w:t xml:space="preserve"> | Специальность: </w:t>
      </w:r>
      <w:r>
        <w:t>Лечебное дело</w:t>
      </w:r>
    </w:p>
    <w:p>
      <w:pPr>
        <w:pStyle w:val="Heading2"/>
      </w:pPr>
      <w:r>
        <w:t>1. УСЛОВИЕ СИТУАЦИОННОЙ ЗАДАЧИ</w:t>
      </w:r>
    </w:p>
    <w:p>
      <w:pPr>
        <w:pStyle w:val="Heading3"/>
      </w:pPr>
      <w:r>
        <w:t>1.1. Ситуация</w:t>
      </w:r>
    </w:p>
    <w:p>
      <w:pPr>
        <w:spacing w:after="58"/>
      </w:pPr>
      <w:r>
        <w:rPr>
          <w:b w:val="0"/>
          <w:i w:val="0"/>
        </w:rPr>
        <w:t>Пациентка 20 лет обратилась на прием к фельдшеру ФАПа.</w:t>
      </w:r>
    </w:p>
    <w:p>
      <w:pPr>
        <w:pStyle w:val="Heading3"/>
      </w:pPr>
      <w:r>
        <w:t>1.2. Жалобы</w:t>
      </w:r>
    </w:p>
    <w:p>
      <w:pPr>
        <w:spacing w:after="58"/>
      </w:pPr>
      <w:r>
        <w:rPr>
          <w:b w:val="0"/>
          <w:i w:val="0"/>
        </w:rPr>
        <w:t>На умеренные кровянистые выделения из половых путей с неприятным запахом в течение 3 дней, тянущие боли в нижних отделах живота, повышение температуры до 37,5 ºС градусов по вечерам.</w:t>
      </w:r>
    </w:p>
    <w:p>
      <w:pPr>
        <w:pStyle w:val="Heading3"/>
      </w:pPr>
      <w:r>
        <w:t>1.3. Анамнез заболевания</w:t>
      </w:r>
    </w:p>
    <w:p>
      <w:pPr>
        <w:spacing w:after="58"/>
      </w:pPr>
      <w:r>
        <w:rPr>
          <w:b w:val="0"/>
          <w:i w:val="0"/>
        </w:rPr>
        <w:t>6 дней назад произошли осложненные роды при первой беременности 36 недель, монохориальная диамниатическая двойня, преждевременное излитие околоплодных вод, умеренная преэклампсия. Течение послеродового периода без особенности. Выписана домой на седьмой день после родов. Вечером на седьмой день после родов появился неприятный запах выделений из половых путей, субфебрильная температура, тянущие боли внизу живота.</w:t>
      </w:r>
    </w:p>
    <w:p>
      <w:pPr>
        <w:pStyle w:val="Heading3"/>
      </w:pPr>
      <w:r>
        <w:t>1.4. Анамнез жизни</w:t>
      </w:r>
    </w:p>
    <w:p>
      <w:pPr>
        <w:spacing w:after="58"/>
      </w:pPr>
      <w:r>
        <w:rPr>
          <w:b w:val="0"/>
          <w:i w:val="0"/>
        </w:rPr>
        <w:t>Детские инфекционные заболевания: ветряная оспа в 2 года, ОРВИ. +</w:t>
        <w:br/>
        <w:t>Хронические соматические и инфекционные заболевания: отрицает. +</w:t>
        <w:br/>
        <w:t>Наследственность: не отягощена. +</w:t>
        <w:br/>
        <w:t>Аллергологический анамнез: не отягощен. +</w:t>
        <w:br/>
        <w:t>Группа крови и резус фактор: B (III) Rh+ +</w:t>
        <w:br/>
        <w:t>Вредные привычки: отрицает. +</w:t>
        <w:br/>
        <w:t>Профессия: инструктор по фитнесу. +</w:t>
        <w:br/>
        <w:t>Менархе в 11 лет. Менструации регулярные, через 28 дней, по 4 дня, умеренные, безболезненные. +</w:t>
        <w:br/>
        <w:t>Проживает постоянно в отдельной квартире с мужем. +</w:t>
        <w:br/>
        <w:t>Гинекологические заболевания: отрицает. +</w:t>
        <w:br/>
        <w:t>Беременность одна, закончилась преждевременными родами в 36 недель рождением близнецов.</w:t>
      </w:r>
    </w:p>
    <w:p>
      <w:pPr>
        <w:pStyle w:val="Heading3"/>
      </w:pPr>
      <w:r>
        <w:t>1.5. Объективный статус</w:t>
      </w:r>
    </w:p>
    <w:p>
      <w:pPr>
        <w:spacing w:after="58"/>
      </w:pPr>
      <w:r>
        <w:rPr>
          <w:b w:val="0"/>
          <w:i w:val="0"/>
        </w:rPr>
        <w:t>Состояние удовлетворительное. Вес 60 кг, рост 165 см. Температура тела 37,6ºС. +</w:t>
        <w:br/>
        <w:t>Кожные покровы и видимые слизистые физиологической окраски. +</w:t>
        <w:br/>
        <w:t>Периферические лимфоузлы в подмышечных, паховых областях, на шее, не увеличены, симметричные с обеих сторон, подвижные, не спаянные с окружающими тканями, плотноэластической консистенции, безболезненные. +</w:t>
        <w:br/>
        <w:t>Молочные железы умеренно нагрубшие. Соски правильной формы, чистые. +</w:t>
        <w:br/>
        <w:t>Дыхание через нос свободное. Грудная клетка правильной формы, симметричная. Тип дыхания грудной, дыхательные движения ритмичные, средней глубины, обе половины грудной клетки одинаково участвуют в акте дыхания. ЧД – 16 в минуту. +</w:t>
        <w:br/>
        <w:t>Аускультация. Над всей поверхностью грудной клетки в проекции легких определяется везикулярное дыхание, хрипов нет. +</w:t>
        <w:br/>
        <w:t>Гемодинамические показатели стабильные, тоны сердца ясные, ритм правильный, ЧСС 85 уд в мин, АД 120/80 мм рт. ст. +</w:t>
        <w:br/>
        <w:t>Мочеиспускание самостоятельное, в достаточном количестве, стул регулярный.</w:t>
      </w:r>
    </w:p>
    <w:p>
      <w:pPr>
        <w:pStyle w:val="Heading2"/>
      </w:pPr>
      <w:r>
        <w:t>1. План обследования</w:t>
      </w:r>
    </w:p>
    <w:p>
      <w:pPr>
        <w:pStyle w:val="Heading3"/>
        <w:keepNext/>
      </w:pPr>
      <w:r>
        <w:rPr>
          <w:b/>
          <w:color w:val="173C49"/>
        </w:rPr>
        <w:t>Вопрос 1.</w:t>
      </w:r>
    </w:p>
    <w:p>
      <w:pPr>
        <w:keepNext/>
      </w:pPr>
      <w:r>
        <w:rPr>
          <w:b w:val="0"/>
          <w:i w:val="0"/>
        </w:rPr>
        <w:t>При физикальном обследовании родильницы необходимо провести пальпацию</w:t>
      </w:r>
    </w:p>
    <w:p>
      <w:pPr>
        <w:tabs>
          <w:tab w:pos="490" w:val="left"/>
        </w:tabs>
        <w:spacing w:after="60"/>
        <w:ind w:left="490" w:hanging="490"/>
      </w:pPr>
      <w:r>
        <w:rPr>
          <w:b/>
        </w:rPr>
        <w:t>1.</w:t>
      </w:r>
      <w:r>
        <w:tab/>
      </w:r>
      <w:r>
        <w:rPr>
          <w:b w:val="0"/>
          <w:i w:val="0"/>
        </w:rPr>
        <w:t>слюнных желез</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живота</w:t>
      </w:r>
    </w:p>
    <w:p>
      <w:pPr>
        <w:tabs>
          <w:tab w:pos="490" w:val="left"/>
        </w:tabs>
        <w:spacing w:after="60"/>
        <w:ind w:left="490" w:hanging="490"/>
      </w:pPr>
      <w:r>
        <w:rPr>
          <w:b/>
        </w:rPr>
        <w:t>3.</w:t>
      </w:r>
      <w:r>
        <w:tab/>
      </w:r>
      <w:r>
        <w:rPr>
          <w:b w:val="0"/>
          <w:i w:val="0"/>
        </w:rPr>
        <w:t>печени</w:t>
      </w:r>
    </w:p>
    <w:p>
      <w:pPr>
        <w:tabs>
          <w:tab w:pos="490" w:val="left"/>
        </w:tabs>
        <w:spacing w:after="60"/>
        <w:ind w:left="490" w:hanging="490"/>
      </w:pPr>
      <w:r>
        <w:rPr>
          <w:b/>
        </w:rPr>
        <w:t>4.</w:t>
      </w:r>
      <w:r>
        <w:tab/>
      </w:r>
      <w:r>
        <w:rPr>
          <w:b w:val="0"/>
          <w:i w:val="0"/>
        </w:rPr>
        <w:t>поджелудочной железы</w:t>
      </w:r>
    </w:p>
    <w:p>
      <w:pPr>
        <w:ind w:left="288"/>
      </w:pPr>
      <w:r>
        <w:rPr>
          <w:b/>
          <w:color w:val="173C49"/>
        </w:rPr>
        <w:t>Правильный ответ:</w:t>
      </w:r>
      <w:r>
        <w:br/>
      </w:r>
      <w:r>
        <w:rPr>
          <w:b/>
          <w:i w:val="0"/>
        </w:rPr>
        <w:t>2 - живота</w:t>
      </w:r>
    </w:p>
    <w:p>
      <w:pPr>
        <w:spacing w:after="58"/>
      </w:pPr>
      <w:r>
        <w:rPr>
          <w:b w:val="0"/>
          <w:i w:val="0"/>
        </w:rPr>
        <w:t>Рекомендуется общее физикальное обследование родильницы (осмотр кожных покровов и слизистых оболочек, пальпация региональных лимфоузлов, молочных желез, живота, выявление нарушений перистальтики, перитонеальных симптомов, осмотр швов на передней брюшной стенке, промежности, пальпация по ходу сосудистых пучков нижних конечностей).</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38">
        <w:r>
          <w:rPr>
            <w:color w:val="173C49"/>
            <w:u w:val="single"/>
          </w:rPr>
          <w:t xml:space="preserve">(1)</w:t>
        </w:r>
      </w:hyperlink>
    </w:p>
    <w:p>
      <w:pPr>
        <w:pStyle w:val="Heading3"/>
        <w:keepNext/>
      </w:pPr>
      <w:r>
        <w:rPr>
          <w:b/>
          <w:color w:val="173C49"/>
        </w:rPr>
        <w:t>Вопрос 2.</w:t>
      </w:r>
    </w:p>
    <w:p>
      <w:pPr>
        <w:keepNext/>
      </w:pPr>
      <w:r>
        <w:rPr>
          <w:b w:val="0"/>
          <w:i w:val="0"/>
        </w:rPr>
        <w:t xml:space="preserve">Обследование пациентки следует продолжить проведением специального </w:t>
      </w:r>
      <w:r>
        <w:rPr>
          <w:b w:val="0"/>
          <w:i w:val="0"/>
        </w:rPr>
        <w:t>________________</w:t>
      </w:r>
      <w:r>
        <w:rPr>
          <w:b w:val="0"/>
          <w:i w:val="0"/>
        </w:rPr>
        <w:t xml:space="preserve"> исследования</w:t>
      </w:r>
    </w:p>
    <w:p>
      <w:pPr>
        <w:tabs>
          <w:tab w:pos="490" w:val="left"/>
        </w:tabs>
        <w:spacing w:after="60"/>
        <w:ind w:left="490" w:hanging="490"/>
      </w:pPr>
      <w:r>
        <w:rPr>
          <w:b/>
        </w:rPr>
        <w:t>1.</w:t>
      </w:r>
      <w:r>
        <w:tab/>
      </w:r>
      <w:r>
        <w:rPr>
          <w:b w:val="0"/>
          <w:i w:val="0"/>
        </w:rPr>
        <w:t>ректально-вагинально-брюшностеночного</w:t>
      </w:r>
    </w:p>
    <w:p>
      <w:pPr>
        <w:tabs>
          <w:tab w:pos="490" w:val="left"/>
        </w:tabs>
        <w:spacing w:after="60"/>
        <w:ind w:left="490" w:hanging="490"/>
      </w:pPr>
      <w:r>
        <w:rPr>
          <w:b/>
        </w:rPr>
        <w:t>2.</w:t>
      </w:r>
      <w:r>
        <w:tab/>
      </w:r>
      <w:r>
        <w:rPr>
          <w:b w:val="0"/>
          <w:i w:val="0"/>
        </w:rPr>
        <w:t>ректо-вагинального</w:t>
      </w:r>
    </w:p>
    <w:p>
      <w:pPr>
        <w:tabs>
          <w:tab w:pos="490" w:val="left"/>
        </w:tabs>
        <w:spacing w:after="60"/>
        <w:ind w:left="490" w:hanging="490"/>
      </w:pPr>
      <w:r>
        <w:rPr>
          <w:b/>
        </w:rPr>
        <w:t>3.</w:t>
      </w:r>
      <w:r>
        <w:tab/>
      </w:r>
      <w:r>
        <w:rPr>
          <w:b w:val="0"/>
          <w:i w:val="0"/>
        </w:rPr>
        <w:t>пальцевого ректального</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влагалищного</w:t>
      </w:r>
    </w:p>
    <w:p>
      <w:pPr>
        <w:ind w:left="288"/>
      </w:pPr>
      <w:r>
        <w:rPr>
          <w:b/>
          <w:color w:val="173C49"/>
        </w:rPr>
        <w:t>Правильный ответ:</w:t>
      </w:r>
      <w:r>
        <w:br/>
      </w:r>
      <w:r>
        <w:rPr>
          <w:b/>
          <w:i w:val="0"/>
        </w:rPr>
        <w:t>4 - влагалищного</w:t>
      </w:r>
    </w:p>
    <w:p>
      <w:pPr>
        <w:spacing w:after="58"/>
      </w:pPr>
      <w:r>
        <w:rPr>
          <w:b w:val="0"/>
          <w:i w:val="0"/>
        </w:rPr>
        <w:t>Рекомендуется проведение влагалищного исследования</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39">
        <w:r>
          <w:rPr>
            <w:color w:val="173C49"/>
            <w:u w:val="single"/>
          </w:rPr>
          <w:t xml:space="preserve">(1)</w:t>
        </w:r>
      </w:hyperlink>
    </w:p>
    <w:p>
      <w:pPr>
        <w:pStyle w:val="Heading2"/>
      </w:pPr>
      <w:r>
        <w:t>2. Диагноз</w:t>
      </w:r>
    </w:p>
    <w:p>
      <w:pPr>
        <w:pStyle w:val="Heading3"/>
        <w:keepNext/>
      </w:pPr>
      <w:r>
        <w:rPr>
          <w:b/>
          <w:color w:val="173C49"/>
        </w:rPr>
        <w:t>Вопрос 3.</w:t>
      </w:r>
    </w:p>
    <w:p>
      <w:pPr>
        <w:keepNext/>
      </w:pPr>
      <w:r>
        <w:rPr>
          <w:b w:val="0"/>
          <w:i w:val="0"/>
        </w:rPr>
        <w:t>У пациентки можно предположить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Послеродовый эндометрит</w:t>
      </w:r>
    </w:p>
    <w:p>
      <w:pPr>
        <w:tabs>
          <w:tab w:pos="490" w:val="left"/>
        </w:tabs>
        <w:spacing w:after="60"/>
        <w:ind w:left="490" w:hanging="490"/>
      </w:pPr>
      <w:r>
        <w:rPr>
          <w:b/>
        </w:rPr>
        <w:t>2.</w:t>
      </w:r>
      <w:r>
        <w:tab/>
      </w:r>
      <w:r>
        <w:rPr>
          <w:b w:val="0"/>
          <w:i w:val="0"/>
        </w:rPr>
        <w:t>Хронический сальпингоофорит</w:t>
      </w:r>
    </w:p>
    <w:p>
      <w:pPr>
        <w:tabs>
          <w:tab w:pos="490" w:val="left"/>
        </w:tabs>
        <w:spacing w:after="60"/>
        <w:ind w:left="490" w:hanging="490"/>
      </w:pPr>
      <w:r>
        <w:rPr>
          <w:b/>
        </w:rPr>
        <w:t>3.</w:t>
      </w:r>
      <w:r>
        <w:tab/>
      </w:r>
      <w:r>
        <w:rPr>
          <w:b w:val="0"/>
          <w:i w:val="0"/>
        </w:rPr>
        <w:t>Пельвиоперитонит</w:t>
      </w:r>
    </w:p>
    <w:p>
      <w:pPr>
        <w:tabs>
          <w:tab w:pos="490" w:val="left"/>
        </w:tabs>
        <w:spacing w:after="60"/>
        <w:ind w:left="490" w:hanging="490"/>
      </w:pPr>
      <w:r>
        <w:rPr>
          <w:b/>
        </w:rPr>
        <w:t>4.</w:t>
      </w:r>
      <w:r>
        <w:tab/>
      </w:r>
      <w:r>
        <w:rPr>
          <w:b w:val="0"/>
          <w:i w:val="0"/>
        </w:rPr>
        <w:t>Послеродовой параметрит</w:t>
      </w:r>
    </w:p>
    <w:p>
      <w:pPr>
        <w:ind w:left="288"/>
      </w:pPr>
      <w:r>
        <w:rPr>
          <w:b/>
          <w:color w:val="173C49"/>
        </w:rPr>
        <w:t>Правильный ответ:</w:t>
      </w:r>
      <w:r>
        <w:br/>
      </w:r>
      <w:r>
        <w:rPr>
          <w:b/>
          <w:i w:val="0"/>
        </w:rPr>
        <w:t>1 - Послеродовый эндометрит</w:t>
      </w:r>
    </w:p>
    <w:p>
      <w:pPr>
        <w:spacing w:after="58"/>
      </w:pPr>
      <w:r>
        <w:rPr>
          <w:b w:val="0"/>
          <w:i w:val="0"/>
        </w:rPr>
        <w:t>Рекомендуется выявлять зависимость развития гнойно-воспалительного процесса от времени родоразрешения: заболевание возникает на 2-5 день послеродового периода.</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40">
        <w:r>
          <w:rPr>
            <w:color w:val="173C49"/>
            <w:u w:val="single"/>
          </w:rPr>
          <w:t xml:space="preserve">(1)</w:t>
        </w:r>
      </w:hyperlink>
    </w:p>
    <w:p>
      <w:pPr>
        <w:spacing w:after="58"/>
      </w:pPr>
      <w:r>
        <w:rPr>
          <w:b w:val="0"/>
          <w:i w:val="0"/>
        </w:rPr>
        <w:t>Следует различать три клинические формы ПЭ: легкую, средней тяжести и тяжелую</w:t>
      </w:r>
    </w:p>
    <w:p>
      <w:pPr>
        <w:spacing w:after="58"/>
      </w:pPr>
      <w:hyperlink r:id="rId41">
        <w:r>
          <w:rPr>
            <w:color w:val="173C49"/>
            <w:u w:val="single"/>
          </w:rPr>
          <w:t xml:space="preserve">(2)</w:t>
        </w:r>
      </w:hyperlink>
    </w:p>
    <w:p>
      <w:pPr>
        <w:pStyle w:val="Heading2"/>
      </w:pPr>
      <w:r>
        <w:t>3. Лечение</w:t>
      </w:r>
    </w:p>
    <w:p>
      <w:pPr>
        <w:pStyle w:val="Heading3"/>
        <w:keepNext/>
      </w:pPr>
      <w:r>
        <w:rPr>
          <w:b/>
          <w:color w:val="173C49"/>
        </w:rPr>
        <w:t>Вопрос 4.</w:t>
      </w:r>
    </w:p>
    <w:p>
      <w:pPr>
        <w:keepNext/>
      </w:pPr>
      <w:r>
        <w:rPr>
          <w:b w:val="0"/>
          <w:i w:val="0"/>
        </w:rPr>
        <w:t>Следует направить пациентку для дополнительного обследования и лечения в</w:t>
      </w:r>
    </w:p>
    <w:p>
      <w:pPr>
        <w:tabs>
          <w:tab w:pos="490" w:val="left"/>
        </w:tabs>
        <w:spacing w:after="60"/>
        <w:ind w:left="490" w:hanging="490"/>
      </w:pPr>
      <w:r>
        <w:rPr>
          <w:b/>
        </w:rPr>
        <w:t>1.</w:t>
      </w:r>
      <w:r>
        <w:tab/>
      </w:r>
      <w:r>
        <w:rPr>
          <w:b w:val="0"/>
          <w:i w:val="0"/>
        </w:rPr>
        <w:t>гинекологическое отделение ОКБ машиной скорой помощи</w:t>
      </w:r>
    </w:p>
    <w:p>
      <w:pPr>
        <w:tabs>
          <w:tab w:pos="490" w:val="left"/>
        </w:tabs>
        <w:spacing w:after="60"/>
        <w:ind w:left="490" w:hanging="490"/>
      </w:pPr>
      <w:r>
        <w:rPr>
          <w:b/>
        </w:rPr>
        <w:t>2.</w:t>
      </w:r>
      <w:r>
        <w:tab/>
      </w:r>
      <w:r>
        <w:rPr>
          <w:b w:val="0"/>
          <w:i w:val="0"/>
        </w:rPr>
        <w:t>женскую консультацию</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гинекологическое отделение ЦРБ машиной скорой помощи</w:t>
      </w:r>
    </w:p>
    <w:p>
      <w:pPr>
        <w:tabs>
          <w:tab w:pos="490" w:val="left"/>
        </w:tabs>
        <w:spacing w:after="60"/>
        <w:ind w:left="490" w:hanging="490"/>
      </w:pPr>
      <w:r>
        <w:rPr>
          <w:b/>
        </w:rPr>
        <w:t>4.</w:t>
      </w:r>
      <w:r>
        <w:tab/>
      </w:r>
      <w:r>
        <w:rPr>
          <w:b w:val="0"/>
          <w:i w:val="0"/>
        </w:rPr>
        <w:t>терапевтическое отделение ЦРБ</w:t>
      </w:r>
    </w:p>
    <w:p>
      <w:pPr>
        <w:ind w:left="288"/>
      </w:pPr>
      <w:r>
        <w:rPr>
          <w:b/>
          <w:color w:val="173C49"/>
        </w:rPr>
        <w:t>Правильный ответ:</w:t>
      </w:r>
      <w:r>
        <w:br/>
      </w:r>
      <w:r>
        <w:rPr>
          <w:b/>
          <w:i w:val="0"/>
        </w:rPr>
        <w:t>3 - гинекологическое отделение ЦРБ машиной скорой помощи</w:t>
      </w:r>
    </w:p>
    <w:p>
      <w:pPr>
        <w:spacing w:after="58"/>
      </w:pPr>
      <w:r>
        <w:rPr>
          <w:b w:val="0"/>
          <w:i w:val="0"/>
        </w:rPr>
        <w:t>С целью сохранения жизни и здоровья пациентки, фельдшер направляет больную в гинекологическое отделение ЦРБ машиной скорой помощи.</w:t>
        <w:b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71</w:t>
      </w:r>
    </w:p>
    <w:p>
      <w:pPr>
        <w:spacing w:after="58"/>
      </w:pPr>
      <w:hyperlink r:id="rId42">
        <w:r>
          <w:rPr>
            <w:color w:val="173C49"/>
            <w:u w:val="single"/>
          </w:rPr>
          <w:t xml:space="preserve">ПРИКАЗ от 20 октября 2020 года N 1130н Об утверждении Порядка оказания медицинской помощи по профилю "акушерство и гинекология"</w:t>
        </w:r>
      </w:hyperlink>
    </w:p>
    <w:p>
      <w:pPr>
        <w:spacing w:after="58"/>
      </w:pPr>
      <w:hyperlink r:id="rId43">
        <w:r>
          <w:rPr>
            <w:color w:val="173C49"/>
            <w:u w:val="single"/>
          </w:rPr>
          <w:t xml:space="preserve">(1)</w:t>
        </w:r>
      </w:hyperlink>
    </w:p>
    <w:p>
      <w:pPr>
        <w:pStyle w:val="Heading3"/>
        <w:keepNext/>
      </w:pPr>
      <w:r>
        <w:rPr>
          <w:b/>
          <w:color w:val="173C49"/>
        </w:rPr>
        <w:t>Вопрос 5.</w:t>
      </w:r>
    </w:p>
    <w:p>
      <w:pPr>
        <w:keepNext/>
      </w:pPr>
      <w:r>
        <w:rPr>
          <w:b w:val="0"/>
          <w:i w:val="0"/>
        </w:rPr>
        <w:t>На догоспитальном этапе с целью уменьшения кровопотери и боли у пациентки можно использовать</w:t>
      </w:r>
    </w:p>
    <w:p>
      <w:pPr>
        <w:tabs>
          <w:tab w:pos="490" w:val="left"/>
        </w:tabs>
        <w:spacing w:after="60"/>
        <w:ind w:left="490" w:hanging="490"/>
      </w:pPr>
      <w:r>
        <w:rPr>
          <w:b/>
        </w:rPr>
        <w:t>1.</w:t>
      </w:r>
      <w:r>
        <w:tab/>
      </w:r>
      <w:r>
        <w:rPr>
          <w:b w:val="0"/>
          <w:i w:val="0"/>
        </w:rPr>
        <w:t>анальгетики</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пузырь со льдом</w:t>
      </w:r>
    </w:p>
    <w:p>
      <w:pPr>
        <w:tabs>
          <w:tab w:pos="490" w:val="left"/>
        </w:tabs>
        <w:spacing w:after="60"/>
        <w:ind w:left="490" w:hanging="490"/>
      </w:pPr>
      <w:r>
        <w:rPr>
          <w:b/>
        </w:rPr>
        <w:t>3.</w:t>
      </w:r>
      <w:r>
        <w:tab/>
      </w:r>
      <w:r>
        <w:rPr>
          <w:b w:val="0"/>
          <w:i w:val="0"/>
        </w:rPr>
        <w:t>утеротоники</w:t>
      </w:r>
    </w:p>
    <w:p>
      <w:pPr>
        <w:tabs>
          <w:tab w:pos="490" w:val="left"/>
        </w:tabs>
        <w:spacing w:after="60"/>
        <w:ind w:left="490" w:hanging="490"/>
      </w:pPr>
      <w:r>
        <w:rPr>
          <w:b/>
        </w:rPr>
        <w:t>4.</w:t>
      </w:r>
      <w:r>
        <w:tab/>
      </w:r>
      <w:r>
        <w:rPr>
          <w:b w:val="0"/>
          <w:i w:val="0"/>
        </w:rPr>
        <w:t>седативные препараты</w:t>
      </w:r>
    </w:p>
    <w:p>
      <w:pPr>
        <w:ind w:left="288"/>
      </w:pPr>
      <w:r>
        <w:rPr>
          <w:b/>
          <w:color w:val="173C49"/>
        </w:rPr>
        <w:t>Правильный ответ:</w:t>
      </w:r>
      <w:r>
        <w:br/>
      </w:r>
      <w:r>
        <w:rPr>
          <w:b/>
          <w:i w:val="0"/>
        </w:rPr>
        <w:t>2 - пузырь со льдом</w:t>
      </w:r>
    </w:p>
    <w:p>
      <w:pPr>
        <w:spacing w:after="58"/>
      </w:pPr>
      <w:r>
        <w:rPr>
          <w:b w:val="0"/>
          <w:i w:val="0"/>
        </w:rPr>
        <w:t>Гипотермия обладает анальгезирующим и гемостатическим эффектом.</w:t>
      </w:r>
    </w:p>
    <w:p>
      <w:pPr>
        <w:spacing w:after="58"/>
      </w:pPr>
      <w:r>
        <w:rPr>
          <w:b w:val="0"/>
          <w:i w:val="0"/>
        </w:rPr>
        <w:t>Гинекология Национальное руководство / под ред. Г.М. Савельевой, Г. Т. Сухих, В.Н. Серова. − М.: ГЭОТАР-Медиа, 2017. − 1008 с. ISBN 978-5-9704-4152-7</w:t>
      </w:r>
    </w:p>
    <w:p>
      <w:pPr>
        <w:spacing w:after="58"/>
      </w:pPr>
      <w:r>
        <w:rPr>
          <w:b w:val="0"/>
          <w:i w:val="0"/>
        </w:rPr>
        <w:t>Глава 15 Бактериальный вагиноз и клинические формы воспалительных заболеваний органов малого таза. 15.6. Воспалительные заболевания матки 15.6.1. Острый эндометрит</w:t>
      </w:r>
    </w:p>
    <w:p>
      <w:pPr>
        <w:spacing w:after="58"/>
      </w:pPr>
      <w:hyperlink r:id="rId44">
        <w:r>
          <w:rPr>
            <w:color w:val="173C49"/>
            <w:u w:val="single"/>
          </w:rPr>
          <w:t xml:space="preserve">(1)</w:t>
        </w:r>
      </w:hyperlink>
    </w:p>
    <w:p>
      <w:pPr>
        <w:pStyle w:val="Heading3"/>
        <w:keepNext/>
      </w:pPr>
      <w:r>
        <w:rPr>
          <w:b/>
          <w:color w:val="173C49"/>
        </w:rPr>
        <w:t>Вопрос 6.</w:t>
      </w:r>
    </w:p>
    <w:p>
      <w:pPr>
        <w:keepNext/>
      </w:pPr>
      <w:r>
        <w:rPr>
          <w:b w:val="0"/>
          <w:i w:val="0"/>
        </w:rPr>
        <w:t>Инструментальным методом исследования для постановки окончательного диагноза является</w:t>
      </w:r>
    </w:p>
    <w:p>
      <w:pPr>
        <w:tabs>
          <w:tab w:pos="490" w:val="left"/>
        </w:tabs>
        <w:spacing w:after="60"/>
        <w:ind w:left="490" w:hanging="490"/>
      </w:pPr>
      <w:r>
        <w:rPr>
          <w:b/>
        </w:rPr>
        <w:t>1.</w:t>
      </w:r>
      <w:r>
        <w:tab/>
      </w:r>
      <w:r>
        <w:rPr>
          <w:b w:val="0"/>
          <w:i w:val="0"/>
        </w:rPr>
        <w:t>ультразвуковое исследование (УЗИ) органов брюшной полости</w:t>
      </w:r>
    </w:p>
    <w:p>
      <w:pPr>
        <w:tabs>
          <w:tab w:pos="490" w:val="left"/>
        </w:tabs>
        <w:spacing w:after="60"/>
        <w:ind w:left="490" w:hanging="490"/>
      </w:pPr>
      <w:r>
        <w:rPr>
          <w:b/>
        </w:rPr>
        <w:t>2.</w:t>
      </w:r>
      <w:r>
        <w:tab/>
      </w:r>
      <w:r>
        <w:rPr>
          <w:b w:val="0"/>
          <w:i w:val="0"/>
        </w:rPr>
        <w:t>магнитно-резонансная томография (МРТ) органов малого таза</w:t>
      </w:r>
    </w:p>
    <w:p>
      <w:pPr>
        <w:tabs>
          <w:tab w:pos="490" w:val="left"/>
        </w:tabs>
        <w:spacing w:after="60"/>
        <w:ind w:left="490" w:hanging="490"/>
      </w:pPr>
      <w:r>
        <w:rPr>
          <w:b/>
        </w:rPr>
        <w:t>3.</w:t>
      </w:r>
      <w:r>
        <w:tab/>
      </w:r>
      <w:r>
        <w:rPr>
          <w:b w:val="0"/>
          <w:i w:val="0"/>
        </w:rPr>
        <w:t>кульдоцентез</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ультразвуковое исследование (УЗИ) органов малого таза</w:t>
      </w:r>
    </w:p>
    <w:p>
      <w:pPr>
        <w:ind w:left="288"/>
      </w:pPr>
      <w:r>
        <w:rPr>
          <w:b/>
          <w:color w:val="173C49"/>
        </w:rPr>
        <w:t>Правильный ответ:</w:t>
      </w:r>
      <w:r>
        <w:br/>
      </w:r>
      <w:r>
        <w:rPr>
          <w:b/>
          <w:i w:val="0"/>
        </w:rPr>
        <w:t>4 - ультразвуковое исследование (УЗИ) органов малого таза</w:t>
      </w:r>
    </w:p>
    <w:p>
      <w:pPr>
        <w:spacing w:after="58"/>
      </w:pPr>
      <w:r>
        <w:rPr>
          <w:b w:val="0"/>
          <w:i w:val="0"/>
        </w:rPr>
        <w:t>На этапе постановки диагноза рекомендуется УЗИ органов малого таза. +</w:t>
        <w:br/>
        <w:t>С помощью ультразвукового исследования выделяют два варианта послеродового эндометрита, что имеет важное значение для выбора адекватной лечебной тактики. Первый вариант –эндометрит на фоне задержки в полости матки некротически измененных остатков децидуальной оболочки, сгустков крови и, реже, плацентарной ткани. Второй вариант –эндометрит при условно «чистой» полости матки –базальный, встречается в 20-30%случаев эндометрита после кесарева сечения.</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45">
        <w:r>
          <w:rPr>
            <w:color w:val="173C49"/>
            <w:u w:val="single"/>
          </w:rPr>
          <w:t xml:space="preserve">(1)</w:t>
        </w:r>
      </w:hyperlink>
    </w:p>
    <w:p>
      <w:pPr>
        <w:pStyle w:val="Heading3"/>
        <w:keepNext/>
      </w:pPr>
      <w:r>
        <w:rPr>
          <w:b/>
          <w:color w:val="173C49"/>
        </w:rPr>
        <w:t>Вопрос 7.</w:t>
      </w:r>
    </w:p>
    <w:p>
      <w:pPr>
        <w:keepNext/>
      </w:pPr>
      <w:r>
        <w:rPr>
          <w:b w:val="0"/>
          <w:i w:val="0"/>
        </w:rPr>
        <w:t xml:space="preserve">Для определения возбудителя, его количественных характеристик и чувствительности к антибиотикам рекомендуется провести </w:t>
      </w:r>
      <w:r>
        <w:rPr>
          <w:b w:val="0"/>
          <w:i w:val="0"/>
        </w:rPr>
        <w:t>______________</w:t>
      </w:r>
      <w:r>
        <w:rPr>
          <w:b w:val="0"/>
          <w:i w:val="0"/>
        </w:rPr>
        <w:t xml:space="preserve"> исследование</w:t>
      </w:r>
    </w:p>
    <w:p>
      <w:pPr>
        <w:tabs>
          <w:tab w:pos="490" w:val="left"/>
        </w:tabs>
        <w:spacing w:after="60"/>
        <w:ind w:left="490" w:hanging="490"/>
      </w:pPr>
      <w:r>
        <w:rPr>
          <w:b/>
        </w:rPr>
        <w:t>1.</w:t>
      </w:r>
      <w:r>
        <w:tab/>
      </w:r>
      <w:r>
        <w:rPr>
          <w:b w:val="0"/>
          <w:i w:val="0"/>
        </w:rPr>
        <w:t>бактериоскопическое</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2"/>
                    <a:stretch>
                      <a:fillRect/>
                    </a:stretch>
                  </pic:blipFill>
                  <pic:spPr>
                    <a:xfrm>
                      <a:off x="0" y="0"/>
                      <a:ext cx="214884" cy="214884"/>
                    </a:xfrm>
                    <a:prstGeom prst="rect"/>
                  </pic:spPr>
                </pic:pic>
              </a:graphicData>
            </a:graphic>
          </wp:inline>
        </w:drawing>
      </w:r>
      <w:r>
        <w:tab/>
      </w:r>
      <w:r>
        <w:rPr>
          <w:b w:val="0"/>
          <w:i w:val="0"/>
        </w:rPr>
        <w:t>бактериологическое</w:t>
      </w:r>
    </w:p>
    <w:p>
      <w:pPr>
        <w:tabs>
          <w:tab w:pos="490" w:val="left"/>
        </w:tabs>
        <w:spacing w:after="60"/>
        <w:ind w:left="490" w:hanging="490"/>
      </w:pPr>
      <w:r>
        <w:rPr>
          <w:b/>
        </w:rPr>
        <w:t>3.</w:t>
      </w:r>
      <w:r>
        <w:tab/>
      </w:r>
      <w:r>
        <w:rPr>
          <w:b w:val="0"/>
          <w:i w:val="0"/>
        </w:rPr>
        <w:t>онкоцитологическое</w:t>
      </w:r>
    </w:p>
    <w:p>
      <w:pPr>
        <w:tabs>
          <w:tab w:pos="490" w:val="left"/>
        </w:tabs>
        <w:spacing w:after="60"/>
        <w:ind w:left="490" w:hanging="490"/>
      </w:pPr>
      <w:r>
        <w:rPr>
          <w:b/>
        </w:rPr>
        <w:t>4.</w:t>
      </w:r>
      <w:r>
        <w:tab/>
      </w:r>
      <w:r>
        <w:rPr>
          <w:b w:val="0"/>
          <w:i w:val="0"/>
        </w:rPr>
        <w:t>ПЦР</w:t>
      </w:r>
    </w:p>
    <w:p>
      <w:pPr>
        <w:ind w:left="288"/>
      </w:pPr>
      <w:r>
        <w:rPr>
          <w:b/>
          <w:color w:val="173C49"/>
        </w:rPr>
        <w:t>Правильный ответ:</w:t>
      </w:r>
      <w:r>
        <w:br/>
      </w:r>
      <w:r>
        <w:rPr>
          <w:b/>
          <w:i w:val="0"/>
        </w:rPr>
        <w:t>2 - бактериологическое</w:t>
      </w:r>
    </w:p>
    <w:p>
      <w:pPr>
        <w:spacing w:after="58"/>
      </w:pPr>
      <w:r>
        <w:rPr>
          <w:b w:val="0"/>
          <w:i w:val="0"/>
        </w:rPr>
        <w:t>Рекомендуется выполнение бактериологического исследования лохий. Бактериологическое исследование лохий включает выделение и идентификацию микроорганизмов, определение их чувствительности к антибиотикам, определение степени микробной колонизации.</w:t>
      </w:r>
    </w:p>
    <w:p>
      <w:pPr>
        <w:spacing w:after="58"/>
      </w:pPr>
      <w:r>
        <w:rPr>
          <w:b w:val="0"/>
          <w:i w:val="0"/>
        </w:rPr>
        <w:t>Клинические рекомендации «Послеродовый эндометрит»</w:t>
        <w:br/>
        <w:t>Год утверждения: 2016 г.</w:t>
        <w:br/>
        <w:t>Раздел 2. Диагностика</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46">
        <w:r>
          <w:rPr>
            <w:color w:val="173C49"/>
            <w:u w:val="single"/>
          </w:rPr>
          <w:t xml:space="preserve">(1)</w:t>
        </w:r>
      </w:hyperlink>
    </w:p>
    <w:p>
      <w:pPr>
        <w:pStyle w:val="Heading3"/>
        <w:keepNext/>
      </w:pPr>
      <w:r>
        <w:rPr>
          <w:b/>
          <w:color w:val="173C49"/>
        </w:rPr>
        <w:t>Вопрос 8.</w:t>
      </w:r>
    </w:p>
    <w:p>
      <w:pPr>
        <w:keepNext/>
      </w:pPr>
      <w:r>
        <w:rPr>
          <w:b w:val="0"/>
          <w:i w:val="0"/>
        </w:rPr>
        <w:t xml:space="preserve">Главным компонентом общего лечения послеродового эндометрита является </w:t>
      </w:r>
      <w:r>
        <w:rPr>
          <w:b w:val="0"/>
          <w:i w:val="0"/>
        </w:rPr>
        <w:t>______________</w:t>
      </w:r>
      <w:r>
        <w:rPr>
          <w:b w:val="0"/>
          <w:i w:val="0"/>
        </w:rPr>
        <w:t xml:space="preserve"> терапия</w:t>
      </w:r>
    </w:p>
    <w:p>
      <w:pPr>
        <w:tabs>
          <w:tab w:pos="490" w:val="left"/>
        </w:tabs>
        <w:spacing w:after="60"/>
        <w:ind w:left="490" w:hanging="490"/>
      </w:pPr>
      <w:r>
        <w:rPr>
          <w:b/>
        </w:rPr>
        <w:t>1.</w:t>
      </w:r>
      <w:r>
        <w:tab/>
      </w:r>
      <w:r>
        <w:rPr>
          <w:b w:val="0"/>
          <w:i w:val="0"/>
        </w:rPr>
        <w:t>антикоагулянтная</w:t>
      </w:r>
    </w:p>
    <w:p>
      <w:pPr>
        <w:tabs>
          <w:tab w:pos="490" w:val="left"/>
        </w:tabs>
        <w:spacing w:after="60"/>
        <w:ind w:left="490" w:hanging="490"/>
      </w:pPr>
      <w:r>
        <w:rPr>
          <w:b/>
        </w:rPr>
        <w:t>2.</w:t>
      </w:r>
      <w:r>
        <w:tab/>
      </w:r>
      <w:r>
        <w:rPr>
          <w:b w:val="0"/>
          <w:i w:val="0"/>
        </w:rPr>
        <w:t>противопротозоидная</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7"/>
                    <a:stretch>
                      <a:fillRect/>
                    </a:stretch>
                  </pic:blipFill>
                  <pic:spPr>
                    <a:xfrm>
                      <a:off x="0" y="0"/>
                      <a:ext cx="214884" cy="214884"/>
                    </a:xfrm>
                    <a:prstGeom prst="rect"/>
                  </pic:spPr>
                </pic:pic>
              </a:graphicData>
            </a:graphic>
          </wp:inline>
        </w:drawing>
      </w:r>
      <w:r>
        <w:tab/>
      </w:r>
      <w:r>
        <w:rPr>
          <w:b w:val="0"/>
          <w:i w:val="0"/>
        </w:rPr>
        <w:t>антибактериальная</w:t>
      </w:r>
    </w:p>
    <w:p>
      <w:pPr>
        <w:tabs>
          <w:tab w:pos="490" w:val="left"/>
        </w:tabs>
        <w:spacing w:after="60"/>
        <w:ind w:left="490" w:hanging="490"/>
      </w:pPr>
      <w:r>
        <w:rPr>
          <w:b/>
        </w:rPr>
        <w:t>4.</w:t>
      </w:r>
      <w:r>
        <w:tab/>
      </w:r>
      <w:r>
        <w:rPr>
          <w:b w:val="0"/>
          <w:i w:val="0"/>
        </w:rPr>
        <w:t>иммунологическая</w:t>
      </w:r>
    </w:p>
    <w:p>
      <w:pPr>
        <w:ind w:left="288"/>
      </w:pPr>
      <w:r>
        <w:rPr>
          <w:b/>
          <w:color w:val="173C49"/>
        </w:rPr>
        <w:t>Правильный ответ:</w:t>
      </w:r>
      <w:r>
        <w:br/>
      </w:r>
      <w:r>
        <w:rPr>
          <w:b/>
          <w:i w:val="0"/>
        </w:rPr>
        <w:t>3 - антибактериальная</w:t>
      </w:r>
    </w:p>
    <w:p>
      <w:pPr>
        <w:spacing w:after="58"/>
      </w:pPr>
      <w:r>
        <w:rPr>
          <w:b w:val="0"/>
          <w:i w:val="0"/>
        </w:rPr>
        <w:t>Основной компонент лечения – антибактериальная терапия. До получения результатов бактериологического исследования рекомендуется проводить эмпирическую антибиотикотерапию, которая должна максимально воздействовать на весь спектр возможных возбудителей заболевания.</w:t>
      </w:r>
    </w:p>
    <w:p>
      <w:pPr>
        <w:spacing w:after="58"/>
      </w:pPr>
      <w:r>
        <w:rPr>
          <w:b w:val="0"/>
          <w:i w:val="0"/>
        </w:rPr>
        <w:t>Клинические рекомендации «Послеродовый эндометрит»</w:t>
        <w:br/>
        <w:t>Год утверждения: 2016 г.</w:t>
        <w:br/>
        <w:t>Раздел 3. Лечение</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47">
        <w:r>
          <w:rPr>
            <w:color w:val="173C49"/>
            <w:u w:val="single"/>
          </w:rPr>
          <w:t xml:space="preserve">(1)</w:t>
        </w:r>
      </w:hyperlink>
    </w:p>
    <w:p>
      <w:pPr>
        <w:pStyle w:val="Heading3"/>
        <w:keepNext/>
      </w:pPr>
      <w:r>
        <w:rPr>
          <w:b/>
          <w:color w:val="173C49"/>
        </w:rPr>
        <w:t>Вопрос 9.</w:t>
      </w:r>
    </w:p>
    <w:p>
      <w:pPr>
        <w:keepNext/>
      </w:pPr>
      <w:r>
        <w:rPr>
          <w:b w:val="0"/>
          <w:i w:val="0"/>
        </w:rPr>
        <w:t>Грудное вскармливание у данной пациентки на период антибактериальной терапии рекомендовано</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временно прекратить</w:t>
      </w:r>
    </w:p>
    <w:p>
      <w:pPr>
        <w:tabs>
          <w:tab w:pos="490" w:val="left"/>
        </w:tabs>
        <w:spacing w:after="60"/>
        <w:ind w:left="490" w:hanging="490"/>
      </w:pPr>
      <w:r>
        <w:rPr>
          <w:b/>
        </w:rPr>
        <w:t>2.</w:t>
      </w:r>
      <w:r>
        <w:tab/>
      </w:r>
      <w:r>
        <w:rPr>
          <w:b w:val="0"/>
          <w:i w:val="0"/>
        </w:rPr>
        <w:t>заменить прикормом</w:t>
      </w:r>
    </w:p>
    <w:p>
      <w:pPr>
        <w:tabs>
          <w:tab w:pos="490" w:val="left"/>
        </w:tabs>
        <w:spacing w:after="60"/>
        <w:ind w:left="490" w:hanging="490"/>
      </w:pPr>
      <w:r>
        <w:rPr>
          <w:b/>
        </w:rPr>
        <w:t>3.</w:t>
      </w:r>
      <w:r>
        <w:tab/>
      </w:r>
      <w:r>
        <w:rPr>
          <w:b w:val="0"/>
          <w:i w:val="0"/>
        </w:rPr>
        <w:t>не прекращать</w:t>
      </w:r>
    </w:p>
    <w:p>
      <w:pPr>
        <w:tabs>
          <w:tab w:pos="490" w:val="left"/>
        </w:tabs>
        <w:spacing w:after="60"/>
        <w:ind w:left="490" w:hanging="490"/>
      </w:pPr>
      <w:r>
        <w:rPr>
          <w:b/>
        </w:rPr>
        <w:t>4.</w:t>
      </w:r>
      <w:r>
        <w:tab/>
      </w:r>
      <w:r>
        <w:rPr>
          <w:b w:val="0"/>
          <w:i w:val="0"/>
        </w:rPr>
        <w:t>проводить, сцеживая молоко</w:t>
      </w:r>
    </w:p>
    <w:p>
      <w:pPr>
        <w:ind w:left="288"/>
      </w:pPr>
      <w:r>
        <w:rPr>
          <w:b/>
          <w:color w:val="173C49"/>
        </w:rPr>
        <w:t>Правильный ответ:</w:t>
      </w:r>
      <w:r>
        <w:br/>
      </w:r>
      <w:r>
        <w:rPr>
          <w:b/>
          <w:i w:val="0"/>
        </w:rPr>
        <w:t>1 - временно прекратить</w:t>
      </w:r>
    </w:p>
    <w:p>
      <w:pPr>
        <w:spacing w:after="58"/>
      </w:pPr>
      <w:r>
        <w:rPr>
          <w:b w:val="0"/>
          <w:i w:val="0"/>
        </w:rPr>
        <w:t>Рекомендуется при проведении антибактериальной терапии временно прекратить грудное вскармливание, так как большинство антибиотиков в значительном количестве попадает в грудное молоко, вызвая сенсибилизацию или дисбактериоз у новорожденного.</w:t>
      </w:r>
    </w:p>
    <w:p>
      <w:pPr>
        <w:spacing w:after="58"/>
      </w:pPr>
      <w:r>
        <w:rPr>
          <w:b w:val="0"/>
          <w:i w:val="0"/>
        </w:rPr>
        <w:t>Клинические рекомендации «Послеродовый эндометрит»</w:t>
        <w:br/>
        <w:t>Год утверждения: 2016 г.</w:t>
        <w:br/>
        <w:t>Раздел 3. Лечение</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48">
        <w:r>
          <w:rPr>
            <w:color w:val="173C49"/>
            <w:u w:val="single"/>
          </w:rPr>
          <w:t xml:space="preserve">(1)</w:t>
        </w:r>
      </w:hyperlink>
    </w:p>
    <w:p>
      <w:pPr>
        <w:pStyle w:val="Heading3"/>
        <w:keepNext/>
      </w:pPr>
      <w:r>
        <w:rPr>
          <w:b/>
          <w:color w:val="173C49"/>
        </w:rPr>
        <w:t>Вопрос 10.</w:t>
      </w:r>
    </w:p>
    <w:p>
      <w:pPr>
        <w:keepNext/>
      </w:pPr>
      <w:r>
        <w:rPr>
          <w:b w:val="0"/>
          <w:i w:val="0"/>
        </w:rPr>
        <w:t>Основанием для вакуум-аспирации полости матки при послеродовом эндометрите могут быть остатки</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плацентарной ткани</w:t>
      </w:r>
    </w:p>
    <w:p>
      <w:pPr>
        <w:tabs>
          <w:tab w:pos="490" w:val="left"/>
        </w:tabs>
        <w:spacing w:after="60"/>
        <w:ind w:left="490" w:hanging="490"/>
      </w:pPr>
      <w:r>
        <w:rPr>
          <w:b/>
        </w:rPr>
        <w:t>2.</w:t>
      </w:r>
      <w:r>
        <w:tab/>
      </w:r>
      <w:r>
        <w:rPr>
          <w:b w:val="0"/>
          <w:i w:val="0"/>
        </w:rPr>
        <w:t>внутриматочной спирали</w:t>
      </w:r>
    </w:p>
    <w:p>
      <w:pPr>
        <w:tabs>
          <w:tab w:pos="490" w:val="left"/>
        </w:tabs>
        <w:spacing w:after="60"/>
        <w:ind w:left="490" w:hanging="490"/>
      </w:pPr>
      <w:r>
        <w:rPr>
          <w:b/>
        </w:rPr>
        <w:t>3.</w:t>
      </w:r>
      <w:r>
        <w:tab/>
      </w:r>
      <w:r>
        <w:rPr>
          <w:b w:val="0"/>
          <w:i w:val="0"/>
        </w:rPr>
        <w:t>операционного тампона</w:t>
      </w:r>
    </w:p>
    <w:p>
      <w:pPr>
        <w:tabs>
          <w:tab w:pos="490" w:val="left"/>
        </w:tabs>
        <w:spacing w:after="60"/>
        <w:ind w:left="490" w:hanging="490"/>
      </w:pPr>
      <w:r>
        <w:rPr>
          <w:b/>
        </w:rPr>
        <w:t>4.</w:t>
      </w:r>
      <w:r>
        <w:tab/>
      </w:r>
      <w:r>
        <w:rPr>
          <w:b w:val="0"/>
          <w:i w:val="0"/>
        </w:rPr>
        <w:t>плодного яйца</w:t>
      </w:r>
    </w:p>
    <w:p>
      <w:pPr>
        <w:ind w:left="288"/>
      </w:pPr>
      <w:r>
        <w:rPr>
          <w:b/>
          <w:color w:val="173C49"/>
        </w:rPr>
        <w:t>Правильный ответ:</w:t>
      </w:r>
      <w:r>
        <w:br/>
      </w:r>
      <w:r>
        <w:rPr>
          <w:b/>
          <w:i w:val="0"/>
        </w:rPr>
        <w:t>1 - плацентарной ткани</w:t>
      </w:r>
    </w:p>
    <w:p>
      <w:pPr>
        <w:spacing w:after="58"/>
      </w:pPr>
      <w:r>
        <w:rPr>
          <w:b w:val="0"/>
          <w:i w:val="0"/>
        </w:rPr>
        <w:t>Главным компонентом общего лечения является назначение антибактериальной терапии, а местного – вакуум-аспирация и/или выскабливание послеродовой матки.</w:t>
      </w:r>
    </w:p>
    <w:p>
      <w:pPr>
        <w:spacing w:after="58"/>
      </w:pPr>
      <w:r>
        <w:rPr>
          <w:b w:val="0"/>
          <w:i w:val="0"/>
        </w:rPr>
        <w:t>Клинические рекомендации «Послеродовый эндометрит»</w:t>
        <w:br/>
        <w:t>Год утверждения: 2016 г.</w:t>
        <w:br/>
        <w:t>Раздел 3. Лечение</w:t>
      </w:r>
    </w:p>
    <w:p>
      <w:pPr>
        <w:spacing w:after="58"/>
      </w:pPr>
      <w:hyperlink r:id="rId37">
        <w:r>
          <w:rPr>
            <w:color w:val="173C49"/>
            <w:u w:val="single"/>
          </w:rPr>
          <w:t xml:space="preserve">Клинические рекомендации Министерства здравоохранения Российской Федерации. Послеродовый эндометрит, 2016 г.</w:t>
        </w:r>
      </w:hyperlink>
    </w:p>
    <w:p>
      <w:pPr>
        <w:spacing w:after="58"/>
      </w:pPr>
      <w:hyperlink r:id="rId49">
        <w:r>
          <w:rPr>
            <w:color w:val="173C49"/>
            <w:u w:val="single"/>
          </w:rPr>
          <w:t xml:space="preserve">(1)</w:t>
        </w:r>
      </w:hyperlink>
    </w:p>
    <w:p>
      <w:pPr>
        <w:pStyle w:val="Heading2"/>
      </w:pPr>
      <w:r>
        <w:t>4. Вариатив</w:t>
      </w:r>
    </w:p>
    <w:p>
      <w:pPr>
        <w:pStyle w:val="Heading3"/>
        <w:keepNext/>
      </w:pPr>
      <w:r>
        <w:rPr>
          <w:b/>
          <w:color w:val="173C49"/>
        </w:rPr>
        <w:t>Вопрос 11.</w:t>
      </w:r>
    </w:p>
    <w:p>
      <w:pPr>
        <w:keepNext/>
      </w:pPr>
      <w:r>
        <w:rPr>
          <w:b w:val="0"/>
          <w:i w:val="0"/>
        </w:rPr>
        <w:t xml:space="preserve">После выписки из стационара данной пациентке показано наблюдение в женской консультации по </w:t>
      </w:r>
      <w:r>
        <w:rPr>
          <w:b w:val="0"/>
          <w:i w:val="0"/>
        </w:rPr>
        <w:t>____</w:t>
      </w:r>
      <w:r>
        <w:rPr>
          <w:b w:val="0"/>
          <w:i w:val="0"/>
        </w:rPr>
        <w:t xml:space="preserve"> диспансерной группе</w:t>
      </w:r>
    </w:p>
    <w:p>
      <w:pPr>
        <w:tabs>
          <w:tab w:pos="490" w:val="left"/>
        </w:tabs>
        <w:spacing w:after="60"/>
        <w:ind w:left="490" w:hanging="490"/>
      </w:pPr>
      <w:r>
        <w:rPr>
          <w:b/>
        </w:rPr>
        <w:t>1.</w:t>
      </w:r>
      <w:r>
        <w:tab/>
      </w:r>
      <w:r>
        <w:rPr>
          <w:b w:val="0"/>
          <w:i w:val="0"/>
        </w:rPr>
        <w:t>1</w:t>
      </w:r>
    </w:p>
    <w:p>
      <w:pPr>
        <w:tabs>
          <w:tab w:pos="490" w:val="left"/>
        </w:tabs>
        <w:spacing w:after="60"/>
        <w:ind w:left="490" w:hanging="490"/>
      </w:pPr>
      <w:r>
        <w:rPr>
          <w:b/>
        </w:rPr>
        <w:t>2.</w:t>
      </w:r>
      <w:r>
        <w:tab/>
      </w:r>
      <w:r>
        <w:rPr>
          <w:b w:val="0"/>
          <w:i w:val="0"/>
        </w:rPr>
        <w:t>0</w:t>
      </w:r>
    </w:p>
    <w:p>
      <w:pPr>
        <w:tabs>
          <w:tab w:pos="490" w:val="left"/>
        </w:tabs>
        <w:spacing w:after="60"/>
        <w:ind w:left="490" w:hanging="490"/>
      </w:pPr>
      <w:r>
        <w:rPr>
          <w:b/>
        </w:rPr>
        <w:t>3.</w:t>
      </w:r>
      <w:r>
        <w:tab/>
      </w:r>
      <w:r>
        <w:rPr>
          <w:b w:val="0"/>
          <w:i w:val="0"/>
        </w:rPr>
        <w:t>2</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2"/>
                    <a:stretch>
                      <a:fillRect/>
                    </a:stretch>
                  </pic:blipFill>
                  <pic:spPr>
                    <a:xfrm>
                      <a:off x="0" y="0"/>
                      <a:ext cx="214884" cy="214884"/>
                    </a:xfrm>
                    <a:prstGeom prst="rect"/>
                  </pic:spPr>
                </pic:pic>
              </a:graphicData>
            </a:graphic>
          </wp:inline>
        </w:drawing>
      </w:r>
      <w:r>
        <w:tab/>
      </w:r>
      <w:r>
        <w:rPr>
          <w:b w:val="0"/>
          <w:i w:val="0"/>
        </w:rPr>
        <w:t>3</w:t>
      </w:r>
    </w:p>
    <w:p>
      <w:pPr>
        <w:ind w:left="288"/>
      </w:pPr>
      <w:r>
        <w:rPr>
          <w:b/>
          <w:color w:val="173C49"/>
        </w:rPr>
        <w:t>Правильный ответ:</w:t>
      </w:r>
      <w:r>
        <w:br/>
      </w:r>
      <w:r>
        <w:rPr>
          <w:b/>
          <w:i w:val="0"/>
        </w:rPr>
        <w:t>4 - 3</w:t>
      </w:r>
    </w:p>
    <w:p>
      <w:pPr>
        <w:spacing w:after="58"/>
      </w:pPr>
      <w:r>
        <w:rPr>
          <w:b w:val="0"/>
          <w:i w:val="0"/>
        </w:rPr>
        <w:t>В связи с возможным нарушением репродуктивной функции после послеродового эндометрита пациентке показано наблюдение в 3 диспансерной группе. +</w:t>
        <w:br/>
        <w:t>3 диспансерная группа – женщины с нарушениями функции репродуктивной системы (невынашивание, бесплодие, синдром поликистозных яичников, олиго/аменорея).</w:t>
      </w:r>
    </w:p>
    <w:p>
      <w:pPr>
        <w:spacing w:after="58"/>
      </w:pPr>
      <w:r>
        <w:rPr>
          <w:b w:val="0"/>
          <w:i w:val="0"/>
        </w:rP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r>
    </w:p>
    <w:p>
      <w:pPr>
        <w:spacing w:after="58"/>
      </w:pPr>
      <w:hyperlink r:id="rId42">
        <w:r>
          <w:rPr>
            <w:color w:val="173C49"/>
            <w:u w:val="single"/>
          </w:rPr>
          <w:t xml:space="preserve">ПРИКАЗ от 20 октября 2020 года N 1130н Об утверждении Порядка оказания медицинской помощи по профилю "акушерство и гинекология"</w:t>
        </w:r>
      </w:hyperlink>
    </w:p>
    <w:p>
      <w:pPr>
        <w:spacing w:after="58"/>
      </w:pPr>
      <w:hyperlink r:id="rId50">
        <w:r>
          <w:rPr>
            <w:color w:val="173C49"/>
            <w:u w:val="single"/>
          </w:rPr>
          <w:t xml:space="preserve">(1)</w:t>
        </w:r>
      </w:hyperlink>
    </w:p>
    <w:p>
      <w:pPr>
        <w:pStyle w:val="Heading3"/>
        <w:keepNext/>
      </w:pPr>
      <w:r>
        <w:rPr>
          <w:b/>
          <w:color w:val="173C49"/>
        </w:rPr>
        <w:t>Вопрос 12.</w:t>
      </w:r>
    </w:p>
    <w:p>
      <w:pPr>
        <w:keepNext/>
      </w:pPr>
      <w:r>
        <w:rPr>
          <w:b w:val="0"/>
          <w:i w:val="0"/>
        </w:rPr>
        <w:t xml:space="preserve">При очередном посещении ФАПа пациентку необходимо проконсультировать по методам </w:t>
      </w:r>
      <w:r>
        <w:rPr>
          <w:b w:val="0"/>
          <w:i w:val="0"/>
        </w:rPr>
        <w:t>____________</w:t>
      </w:r>
      <w:r>
        <w:rPr>
          <w:b w:val="0"/>
          <w:i w:val="0"/>
        </w:rPr>
        <w:t xml:space="preserve"> с учетом рекомендаций кормящим женщинам</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19"/>
                    <a:stretch>
                      <a:fillRect/>
                    </a:stretch>
                  </pic:blipFill>
                  <pic:spPr>
                    <a:xfrm>
                      <a:off x="0" y="0"/>
                      <a:ext cx="214884" cy="214884"/>
                    </a:xfrm>
                    <a:prstGeom prst="rect"/>
                  </pic:spPr>
                </pic:pic>
              </a:graphicData>
            </a:graphic>
          </wp:inline>
        </w:drawing>
      </w:r>
      <w:r>
        <w:tab/>
      </w:r>
      <w:r>
        <w:rPr>
          <w:b w:val="0"/>
          <w:i w:val="0"/>
        </w:rPr>
        <w:t>контрацепции</w:t>
      </w:r>
    </w:p>
    <w:p>
      <w:pPr>
        <w:tabs>
          <w:tab w:pos="490" w:val="left"/>
        </w:tabs>
        <w:spacing w:after="60"/>
        <w:ind w:left="490" w:hanging="490"/>
      </w:pPr>
      <w:r>
        <w:rPr>
          <w:b/>
        </w:rPr>
        <w:t>2.</w:t>
      </w:r>
      <w:r>
        <w:tab/>
      </w:r>
      <w:r>
        <w:rPr>
          <w:b w:val="0"/>
          <w:i w:val="0"/>
        </w:rPr>
        <w:t>саморелаксации</w:t>
      </w:r>
    </w:p>
    <w:p>
      <w:pPr>
        <w:tabs>
          <w:tab w:pos="490" w:val="left"/>
        </w:tabs>
        <w:spacing w:after="60"/>
        <w:ind w:left="490" w:hanging="490"/>
      </w:pPr>
      <w:r>
        <w:rPr>
          <w:b/>
        </w:rPr>
        <w:t>3.</w:t>
      </w:r>
      <w:r>
        <w:tab/>
      </w:r>
      <w:r>
        <w:rPr>
          <w:b w:val="0"/>
          <w:i w:val="0"/>
        </w:rPr>
        <w:t>личной гигиены</w:t>
      </w:r>
    </w:p>
    <w:p>
      <w:pPr>
        <w:tabs>
          <w:tab w:pos="490" w:val="left"/>
        </w:tabs>
        <w:spacing w:after="60"/>
        <w:ind w:left="490" w:hanging="490"/>
      </w:pPr>
      <w:r>
        <w:rPr>
          <w:b/>
        </w:rPr>
        <w:t>4.</w:t>
      </w:r>
      <w:r>
        <w:tab/>
      </w:r>
      <w:r>
        <w:rPr>
          <w:b w:val="0"/>
          <w:i w:val="0"/>
        </w:rPr>
        <w:t>самоизоляции</w:t>
      </w:r>
    </w:p>
    <w:p>
      <w:pPr>
        <w:ind w:left="288"/>
      </w:pPr>
      <w:r>
        <w:rPr>
          <w:b/>
          <w:color w:val="173C49"/>
        </w:rPr>
        <w:t>Правильный ответ:</w:t>
      </w:r>
      <w:r>
        <w:br/>
      </w:r>
      <w:r>
        <w:rPr>
          <w:b/>
          <w:i w:val="0"/>
        </w:rPr>
        <w:t>1 - контрацепции</w:t>
      </w:r>
    </w:p>
    <w:p>
      <w:pPr>
        <w:spacing w:after="58"/>
      </w:pPr>
      <w:r>
        <w:rPr>
          <w:b w:val="0"/>
          <w:i w:val="0"/>
        </w:rPr>
        <w:t>В рамках первичной медико-санитарной помощи осуществляются профилактические медицинские приемы женщин, направленные на раннее выявление гинекологических заболеваний, патологии молочных желез, инфекций, передаваемых половым путем, ВИЧ-инфекции, подбор методов контрацепции, преконцепционную и прегравидарную подготовку.</w:t>
      </w:r>
    </w:p>
    <w:p>
      <w:pPr>
        <w:spacing w:after="58"/>
      </w:pPr>
      <w:r>
        <w:rPr>
          <w:b w:val="0"/>
          <w:i w:val="0"/>
        </w:rPr>
        <w:t>Приказ Министерства здравоохранения РФ от 20 октября 2020 г. №1130н "Об утверждении Порядка оказания медицинской помощи по профилю "акушерство и гинекология" VII. Оказание медицинской помощи женщинам с гинекологическими заболеваниями, пункт 68</w:t>
      </w:r>
    </w:p>
    <w:p>
      <w:pPr>
        <w:spacing w:after="58"/>
      </w:pPr>
      <w:hyperlink r:id="rId42">
        <w:r>
          <w:rPr>
            <w:color w:val="173C49"/>
            <w:u w:val="single"/>
          </w:rPr>
          <w:t xml:space="preserve">ПРИКАЗ от 20 октября 2020 года N 1130н Об утверждении Порядка оказания медицинской помощи по профилю "акушерство и гинекология"</w:t>
        </w:r>
      </w:hyperlink>
    </w:p>
    <w:p>
      <w:pPr>
        <w:spacing w:after="58"/>
      </w:pPr>
      <w:hyperlink r:id="rId51">
        <w:r>
          <w:rPr>
            <w:color w:val="173C49"/>
            <w:u w:val="single"/>
          </w:rPr>
          <w:t xml:space="preserve">(1)</w:t>
        </w:r>
      </w:hyperlink>
    </w:p>
    <w:p>
      <w:pPr>
        <w:spacing w:after="58"/>
      </w:pPr>
      <w:r>
        <w:rPr>
          <w:b w:val="0"/>
          <w:i w:val="0"/>
        </w:rPr>
        <w:t>Применение барьерных методов контрацепции является предпочтительным для кормящих женщин.</w:t>
      </w:r>
    </w:p>
    <w:p>
      <w:pPr>
        <w:spacing w:after="58"/>
      </w:pPr>
      <w:r>
        <w:rPr>
          <w:b w:val="0"/>
          <w:i w:val="0"/>
        </w:rPr>
        <w:t>Гинекология Национальное руководство / под ред. Г.М. Савельевой, Г.Т. Сухих, В.Н. Серова. – М.: ГЭОТАР-Медиа, 2020. - 1008 с. ISBN978-5-9704-5707-8</w:t>
        <w:br/>
        <w:t>Глава 30. Барьерные методы контрацепции</w:t>
      </w:r>
    </w:p>
    <w:p>
      <w:pPr>
        <w:spacing w:after="58"/>
      </w:pPr>
      <w:hyperlink r:id="rId52">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Лечебное дело</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kr_deficit_vitam2021/" TargetMode="External"/><Relationship Id="rId21" Type="http://schemas.openxmlformats.org/officeDocument/2006/relationships/hyperlink" Target="https://library.mededtech.ru/rest/documents/kr_deficit_vitam2021/#table2" TargetMode="External"/><Relationship Id="rId22" Type="http://schemas.openxmlformats.org/officeDocument/2006/relationships/image" Target="media/image5.png"/><Relationship Id="rId23" Type="http://schemas.openxmlformats.org/officeDocument/2006/relationships/hyperlink" Target="https://library.mededtech.ru/rest/documents/ISBN9785970437063/?anchor=list_item_fp9blg#list_item_fp9blg" TargetMode="External"/><Relationship Id="rId24" Type="http://schemas.openxmlformats.org/officeDocument/2006/relationships/hyperlink" Target="https://library.mededtech.ru/rest/documents/ISBN9785970481479/?anchor=tab11_1#tab11_1" TargetMode="External"/><Relationship Id="rId25" Type="http://schemas.openxmlformats.org/officeDocument/2006/relationships/hyperlink" Target="https://library.mededtech.ru/rest/documents/kr_deficit_vitam2021/#paragraph_fp8mfu" TargetMode="External"/><Relationship Id="rId26" Type="http://schemas.openxmlformats.org/officeDocument/2006/relationships/hyperlink" Target="https://library.mededtech.ru/rest/documents/kr_deficit_vitam2021/#paragraph_mn36k4" TargetMode="External"/><Relationship Id="rId27" Type="http://schemas.openxmlformats.org/officeDocument/2006/relationships/image" Target="media/image6.png"/><Relationship Id="rId28" Type="http://schemas.openxmlformats.org/officeDocument/2006/relationships/hyperlink" Target="https://library.mededtech.ru/rest/documents/kr_deficit_vitam2021/#list_item_tqd325" TargetMode="External"/><Relationship Id="rId29" Type="http://schemas.openxmlformats.org/officeDocument/2006/relationships/hyperlink" Target="https://library.mededtech.ru/rest/documents/kr_deficit_vitam2021/#table4" TargetMode="External"/><Relationship Id="rId30" Type="http://schemas.openxmlformats.org/officeDocument/2006/relationships/hyperlink" Target="https://library.mededtech.ru/rest/documents/kr_deficit_vitam2021/#paragraph_5b4f78" TargetMode="External"/><Relationship Id="rId31" Type="http://schemas.openxmlformats.org/officeDocument/2006/relationships/hyperlink" Target="https://library.mededtech.ru/rest/documents/kr_deficit_vitam2021/#table1" TargetMode="External"/><Relationship Id="rId32" Type="http://schemas.openxmlformats.org/officeDocument/2006/relationships/image" Target="media/image7.png"/><Relationship Id="rId33" Type="http://schemas.openxmlformats.org/officeDocument/2006/relationships/hyperlink" Target="https://library.mededtech.ru/rest/documents/kr_deficit_vitam2021/#list_item_m533il" TargetMode="External"/><Relationship Id="rId34" Type="http://schemas.openxmlformats.org/officeDocument/2006/relationships/hyperlink" Target="https://library.mededtech.ru/rest/documents/cr_781/" TargetMode="External"/><Relationship Id="rId35" Type="http://schemas.openxmlformats.org/officeDocument/2006/relationships/hyperlink" Target="https://library.mededtech.ru/rest/documents/cr_781/index.html#paragraph_nb2ev" TargetMode="External"/><Relationship Id="rId36" Type="http://schemas.openxmlformats.org/officeDocument/2006/relationships/hyperlink" Target="https://library.mededtech.ru/rest/documents/kr_deficit_vitam2021/#paragraph_kvugdq" TargetMode="External"/><Relationship Id="rId37" Type="http://schemas.openxmlformats.org/officeDocument/2006/relationships/hyperlink" Target="https://library.mededtech.ru/rest/documents/cr_95/" TargetMode="External"/><Relationship Id="rId38" Type="http://schemas.openxmlformats.org/officeDocument/2006/relationships/hyperlink" Target="https://library.mededtech.ru/rest/documents/cr_95/#list_item_c01ef" TargetMode="External"/><Relationship Id="rId39" Type="http://schemas.openxmlformats.org/officeDocument/2006/relationships/hyperlink" Target="https://library.mededtech.ru/rest/documents/cr_95/#list_item_sdq8e" TargetMode="External"/><Relationship Id="rId40" Type="http://schemas.openxmlformats.org/officeDocument/2006/relationships/hyperlink" Target="https://library.mededtech.ru/rest/documents/cr_95/#list_item_tvb9e" TargetMode="External"/><Relationship Id="rId41" Type="http://schemas.openxmlformats.org/officeDocument/2006/relationships/hyperlink" Target="https://library.mededtech.ru/rest/documents/cr_95/#paragraph_rpr1b" TargetMode="External"/><Relationship Id="rId42" Type="http://schemas.openxmlformats.org/officeDocument/2006/relationships/hyperlink" Target="https://library.mededtech.ru/rest/documents/prikazN1130" TargetMode="External"/><Relationship Id="rId43" Type="http://schemas.openxmlformats.org/officeDocument/2006/relationships/hyperlink" Target="https://library.mededtech.ru/rest/documents/prikazN1130/#paragraph_u2p8ro" TargetMode="External"/><Relationship Id="rId44" Type="http://schemas.openxmlformats.org/officeDocument/2006/relationships/hyperlink" Target="https://library.mededtech.ru/rest/documents/Ginekologiia_Natciona_noe/?anchor=paragraph_nu8art#paragraph_nu8art" TargetMode="External"/><Relationship Id="rId45" Type="http://schemas.openxmlformats.org/officeDocument/2006/relationships/hyperlink" Target="https://library.mededtech.ru/rest/documents/cr_95/#list_item_hqlu7" TargetMode="External"/><Relationship Id="rId46" Type="http://schemas.openxmlformats.org/officeDocument/2006/relationships/hyperlink" Target="https://library.mededtech.ru/rest/documents/cr_95/#list_item_gi3ma" TargetMode="External"/><Relationship Id="rId47" Type="http://schemas.openxmlformats.org/officeDocument/2006/relationships/hyperlink" Target="https://library.mededtech.ru/rest/documents/cr_95/#paragraph_lev9e" TargetMode="External"/><Relationship Id="rId48" Type="http://schemas.openxmlformats.org/officeDocument/2006/relationships/hyperlink" Target="https://library.mededtech.ru/rest/documents/cr_95/#list_item_rgm56" TargetMode="External"/><Relationship Id="rId49" Type="http://schemas.openxmlformats.org/officeDocument/2006/relationships/hyperlink" Target="https://library.mededtech.ru/rest/documents/cr_95/#paragraph_ucerl" TargetMode="External"/><Relationship Id="rId50" Type="http://schemas.openxmlformats.org/officeDocument/2006/relationships/hyperlink" Target="https://library.mededtech.ru/rest/documents/prikazN1130/#list_item_p3mvlm" TargetMode="External"/><Relationship Id="rId51" Type="http://schemas.openxmlformats.org/officeDocument/2006/relationships/hyperlink" Target="https://library.mededtech.ru/rest/documents/prikazN1130/#list_item_1h9p47" TargetMode="External"/><Relationship Id="rId52" Type="http://schemas.openxmlformats.org/officeDocument/2006/relationships/hyperlink" Target="https://library.mededtech.ru/rest/documents/ISBN9785970457399/?anchor=24_3_&#1041;&#1040;&#1056;&#1068;&#1045;&#1056;&#1053;&#1067;&#1045;_&#1052;&#1045;&#1058;&#1054;&#1044;&#1067;_&#1050;&#1054;&#1053;&#1058;&#1056;&#1040;&#1062;&#1045;&#1055;&#1062;&#1048;&#1048;#24_3_&#1041;&#1040;&#1056;&#1068;&#1045;&#1056;&#1053;&#1067;&#1045;_&#1052;&#1045;&#1058;&#1054;&#1044;&#1067;_&#1050;&#1054;&#1053;&#1058;&#1056;&#1040;&#1062;&#1045;&#1055;&#1062;&#1048;&#10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